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rPr>
          <w:b/>
          <w:bCs/>
        </w:rPr>
        <w:t xml:space="preserve">Trusting what you did not write, and controlling what you ship.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Two directions, one document.</w:t>
      </w:r>
      <w:r>
        <w:t xml:space="preserve"> </w:t>
      </w:r>
      <w:r>
        <w:rPr>
          <w:i/>
          <w:iCs/>
        </w:rPr>
        <w:t xml:space="preserve">Inbound:</w:t>
      </w:r>
      <w:r>
        <w:t xml:space="preserve"> </w:t>
      </w:r>
      <w:r>
        <w:t xml:space="preserve">you import code you did not write, cannot fully audit,</w:t>
      </w:r>
      <w:r>
        <w:t xml:space="preserve"> </w:t>
      </w:r>
      <w:r>
        <w:t xml:space="preserve">and that changes underneath you.</w:t>
      </w:r>
      <w:r>
        <w:t xml:space="preserve"> </w:t>
      </w:r>
      <w:r>
        <w:rPr>
          <w:i/>
          <w:iCs/>
        </w:rPr>
        <w:t xml:space="preserve">Outbound:</w:t>
      </w:r>
      <w:r>
        <w:t xml:space="preserve"> </w:t>
      </w:r>
      <w:r>
        <w:t xml:space="preserve">you publish a build other people install, and they need</w:t>
      </w:r>
      <w:r>
        <w:t xml:space="preserve"> </w:t>
      </w:r>
      <w:r>
        <w:t xml:space="preserve">some way to know it is the thing you meant to send.</w:t>
      </w:r>
    </w:p>
    <w:p>
      <w:pPr>
        <w:pStyle w:val="BodyText"/>
      </w:pPr>
      <w:r>
        <w:t xml:space="preserve">Both halves share a shape, and in neither is the answer "review it harder". It is a small number of</w:t>
      </w:r>
      <w:r>
        <w:t xml:space="preserve"> </w:t>
      </w:r>
      <w:r>
        <w:t xml:space="preserve">machine-enforced controls, plus human attention spent at two or three specific moments rather than</w:t>
      </w:r>
      <w:r>
        <w:t xml:space="preserve"> </w:t>
      </w:r>
      <w:r>
        <w:t xml:space="preserve">spread thin across everything.</w:t>
      </w:r>
    </w:p>
    <w:p>
      <w:pPr>
        <w:pStyle w:val="BodyText"/>
      </w:pPr>
      <w:r>
        <w:t xml:space="preserve">Inbound, those moments are adoption and each version bump: verify identity rather than mere</w:t>
      </w:r>
      <w:r>
        <w:t xml:space="preserve"> </w:t>
      </w:r>
      <w:r>
        <w:t xml:space="preserve">existence when you add a dependency, and read the changelog and the lock delta when you bump it.</w:t>
      </w:r>
      <w:r>
        <w:t xml:space="preserve"> </w:t>
      </w:r>
      <w:r>
        <w:t xml:space="preserve">Between them the machinery runs unattended -- pin by digest and enforce the pin at install, because</w:t>
      </w:r>
      <w:r>
        <w:t xml:space="preserve"> </w:t>
      </w:r>
      <w:r>
        <w:t xml:space="preserve">a version pin is not a hash pin, and give every manifest one blocking audit of its own.</w:t>
      </w:r>
    </w:p>
    <w:p>
      <w:pPr>
        <w:pStyle w:val="BodyText"/>
      </w:pPr>
      <w:r>
        <w:t xml:space="preserve">Outbound, allowlist what goes into the artifact and check 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upload. The upload is the</w:t>
      </w:r>
      <w:r>
        <w:t xml:space="preserve"> </w:t>
      </w:r>
      <w:r>
        <w:t xml:space="preserve">irreversible step, and an exclusion list ships whatever nobody thought to exclude.</w:t>
      </w:r>
    </w:p>
    <w:p>
      <w:pPr>
        <w:pStyle w:val="BodyText"/>
      </w:pPr>
      <w:r>
        <w:t xml:space="preserve">One moment resists automation. Whether a package is the project you meant is not a mechanical</w:t>
      </w:r>
      <w:r>
        <w:t xml:space="preserve"> </w:t>
      </w:r>
      <w:r>
        <w:t xml:space="preserve">question: a real, years-old, canonically named package can still be the wrong one, and an AI coding</w:t>
      </w:r>
      <w:r>
        <w:t xml:space="preserve"> </w:t>
      </w:r>
      <w:r>
        <w:t xml:space="preserve">assistant makes plausible-but-wrong names a routine hazard. That is the one place a human is</w:t>
      </w:r>
      <w:r>
        <w:t xml:space="preserve"> </w:t>
      </w:r>
      <w:r>
        <w:t xml:space="preserve">structurally required.</w:t>
      </w:r>
    </w:p>
    <w:p>
      <w:pPr>
        <w:pStyle w:val="BodyText"/>
      </w:pPr>
      <w:r>
        <w:t xml:space="preserve">The honest limit, stated here rather than left to be discovered:</w:t>
      </w:r>
      <w:r>
        <w:t xml:space="preserve"> </w:t>
      </w:r>
      <w:r>
        <w:rPr>
          <w:b/>
          <w:bCs/>
        </w:rPr>
        <w:t xml:space="preserve">none of this detects a malicious</w:t>
      </w:r>
      <w:r>
        <w:rPr>
          <w:b/>
          <w:bCs/>
        </w:rPr>
        <w:t xml:space="preserve"> </w:t>
      </w:r>
      <w:r>
        <w:rPr>
          <w:b/>
          <w:bCs/>
        </w:rPr>
        <w:t xml:space="preserve">release from a legitimate maintainer.</w:t>
      </w:r>
      <w:r>
        <w:t xml:space="preserve"> </w:t>
      </w:r>
      <w:r>
        <w:t xml:space="preserve">A compromised upstream that publishes a signed, canonically</w:t>
      </w:r>
      <w:r>
        <w:t xml:space="preserve"> </w:t>
      </w:r>
      <w:r>
        <w:t xml:space="preserve">named, advisory-free release passes every control in this document. What the controls buy is that</w:t>
      </w:r>
      <w:r>
        <w:t xml:space="preserve"> </w:t>
      </w:r>
      <w:r>
        <w:t xml:space="preserve">the change arrives pinned, surveilled and reviewable instead of silent.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3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3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3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3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3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3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3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states the honest position -- you are not going to read your</w:t>
      </w:r>
      <w:r>
        <w:t xml:space="preserve"> </w:t>
      </w:r>
      <w:r>
        <w:t xml:space="preserve">dependency tree, and nobody does.</w:t>
      </w:r>
    </w:p>
    <w:p>
      <w:pPr>
        <w:pStyle w:val="BodyText"/>
      </w:pPr>
      <w:r>
        <w:t xml:space="preserve">The discipline that follows never asks you to. It asks you to manage each component as a black box,</w:t>
      </w:r>
      <w:r>
        <w:t xml:space="preserve"> </w:t>
      </w:r>
      <w:r>
        <w:t xml:space="preserve">and the table says where the human effort lands.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That review is what discharges the risk of not reading it, and it is where the adoption minutes</w:t>
      </w:r>
      <w:r>
        <w:t xml:space="preserve"> </w:t>
      </w:r>
      <w:r>
        <w:t xml:space="preserve">should go. Do not spend them skimming internals, which produces the feeling of review without the</w:t>
      </w:r>
      <w:r>
        <w:t xml:space="preserve"> </w:t>
      </w:r>
      <w:r>
        <w:t xml:space="preserve">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87a94c3653a87b8fbcfd99a5118ea8f748a0b50"/>
    <w:p>
      <w:pPr>
        <w:pStyle w:val="Heading3"/>
      </w:pPr>
      <w:r>
        <w:t xml:space="preserve">The hallucinated package, and why an AI coding assistant makes it routine</w:t>
      </w:r>
    </w:p>
    <w:p>
      <w:pPr>
        <w:pStyle w:val="FirstParagraph"/>
      </w:pPr>
      <w:r>
        <w:t xml:space="preserve">An AI coding assistant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 names</w:t>
      </w:r>
      <w:r>
        <w:t xml:space="preserve"> </w:t>
      </w:r>
      <w:r>
        <w:t xml:space="preserve">in that ecosystem is exactly the output the model is good at producing.</w:t>
      </w:r>
    </w:p>
    <w:p>
      <w:pPr>
        <w:pStyle w:val="BodyText"/>
      </w:pPr>
      <w:r>
        <w:t xml:space="preserve">At the point of use, that name is indistinguishable from one that exists. The regularity is the</w:t>
      </w:r>
      <w:r>
        <w:t xml:space="preserve"> </w:t>
      </w:r>
      <w:r>
        <w:t xml:space="preserve">attack surface: a name suggested often enough can be registered by somebody else.</w:t>
      </w:r>
    </w:p>
    <w:p>
      <w:pPr>
        <w:pStyle w:val="BodyText"/>
      </w:pPr>
      <w:r>
        <w:t xml:space="preserve">The rule, the gate shape and the published magnitude with its model-era caveat are already on the</w:t>
      </w:r>
      <w:r>
        <w:t xml:space="preserve"> </w:t>
      </w:r>
      <w:r>
        <w:t xml:space="preserve">site. They are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.</w:t>
      </w:r>
    </w:p>
    <w:p>
      <w:pPr>
        <w:pStyle w:val="BodyText"/>
      </w:pPr>
      <w:r>
        <w:t xml:space="preserve">Two things are worth adding at this document's altitude.</w:t>
      </w:r>
    </w:p>
    <w:p>
      <w:pPr>
        <w:pStyle w:val="BodyText"/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 an</w:t>
      </w:r>
      <w:r>
        <w:t xml:space="preserve"> </w:t>
      </w:r>
      <w:r>
        <w:t xml:space="preserve">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 A</w:t>
      </w:r>
      <w:r>
        <w:t xml:space="preserve"> </w:t>
      </w:r>
      <w:r>
        <w:t xml:space="preserve">package that genuinely exists, publishes files, is years old and is served under its own canonical</w:t>
      </w:r>
      <w:r>
        <w:t xml:space="preserve"> </w:t>
      </w:r>
      <w:r>
        <w:t xml:space="preserve">name can still be a different project than the one intended. It passes everything.</w:t>
      </w:r>
    </w:p>
    <w:p>
      <w:pPr>
        <w:pStyle w:val="BodyText"/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BodyText"/>
      </w:pPr>
      <w:r>
        <w:rPr>
          <w:b/>
          <w:bCs/>
        </w:rPr>
        <w:t xml:space="preserve">Code 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is that an explanation reached with assistance is acceptable, rubber-stamping is not, opaque</w:t>
      </w:r>
      <w:r>
        <w:t xml:space="preserve"> </w:t>
      </w:r>
      <w:r>
        <w:t xml:space="preserve">even with help is discarded, and you capture it durably. It is stated 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"Reject code you cannot explain -- assistance in reaching the explanation is fine"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Code 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are worth carrying from the argument that produced the pragmatic bar, neither of which</w:t>
      </w:r>
      <w:r>
        <w:t xml:space="preserve"> </w:t>
      </w:r>
      <w:r>
        <w:t xml:space="preserve">the site states.</w:t>
      </w:r>
    </w:p>
    <w:p>
      <w:pPr>
        <w:pStyle w:val="BodyText"/>
      </w:pPr>
      <w:r>
        <w:rPr>
          <w:b/>
          <w:bCs/>
        </w:rPr>
        <w:t xml:space="preserve">An AI coding assistant's explanation can be confidently wrong in exactly the way its code can.</w:t>
      </w:r>
      <w:r>
        <w:t xml:space="preserve"> </w:t>
      </w:r>
      <w:r>
        <w:t xml:space="preserve">The human verifies the explanation; accepting it is the rubber-stamp under a different name.</w:t>
      </w:r>
    </w:p>
    <w:p>
      <w:pPr>
        <w:pStyle w:val="BodyText"/>
      </w:pPr>
      <w:r>
        <w:rPr>
          <w:b/>
          <w:bCs/>
        </w:rPr>
        <w:t xml:space="preserve">When it breaks, you may not have the AI coding assistant in the loop.</w:t>
      </w:r>
      <w:r>
        <w:t xml:space="preserve"> </w:t>
      </w:r>
      <w:r>
        <w:t xml:space="preserve">That is the honest residual</w:t>
      </w:r>
      <w:r>
        <w:t xml:space="preserve"> </w:t>
      </w:r>
      <w:r>
        <w:t xml:space="preserve">risk of the pragmatic bar.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BodyText"/>
      </w:pPr>
      <w:r>
        <w:rPr>
          <w:b/>
          <w:bCs/>
        </w:rPr>
        <w:t xml:space="preserve">A cheap detector for drift on this rule:</w:t>
      </w:r>
      <w:r>
        <w:t xml:space="preserve"> </w:t>
      </w:r>
      <w:r>
        <w:t xml:space="preserve">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</w:t>
      </w:r>
    </w:p>
    <w:p>
      <w:pPr>
        <w:pStyle w:val="BodyText"/>
      </w:pPr>
      <w:r>
        <w:t xml:space="preserve">Worse, it silently leaves the machinery behind. A vendored path is not in the lockfile, so the</w:t>
      </w:r>
      <w:r>
        <w:t xml:space="preserve"> </w:t>
      </w:r>
      <w:r>
        <w:t xml:space="preserve">advisory auditor never sees it, and static analysis configured for your first-party package skips the</w:t>
      </w:r>
      <w:r>
        <w:t xml:space="preserve"> </w:t>
      </w:r>
      <w:r>
        <w:t xml:space="preserve">new directory. Every dependency control reports green while covering nothing -- the sibling-path</w:t>
      </w:r>
      <w:r>
        <w:t xml:space="preserve"> </w:t>
      </w:r>
      <w:r>
        <w:t xml:space="preserve">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4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4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4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 dependency</w:t>
      </w:r>
      <w:r>
        <w:t xml:space="preserve"> </w:t>
      </w:r>
      <w:r>
        <w:t xml:space="preserve">tree grows a tree that nothing watches. The dashboard still says the repository is 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</w:t>
      </w:r>
    </w:p>
    <w:p>
      <w:pPr>
        <w:pStyle w:val="BodyText"/>
      </w:pPr>
      <w:r>
        <w:t xml:space="preserve">Prefer one check that fails when a manifest exists with no corresponding audit entry, so the parity</w:t>
      </w:r>
      <w:r>
        <w:t xml:space="preserve"> </w:t>
      </w:r>
      <w:r>
        <w:t xml:space="preserve">is deterministic rather than a recurring manual sweep. Triage a transitive advisory by pinning it out</w:t>
      </w:r>
      <w:r>
        <w:t xml:space="preserve"> </w:t>
      </w:r>
      <w:r>
        <w:t xml:space="preserve">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exposure. That difference is worth</w:t>
      </w:r>
      <w:r>
        <w:t xml:space="preserve"> </w:t>
      </w:r>
      <w:r>
        <w:t xml:space="preserve">stating when you triage. It is not a reason to leave the tree unsurveilled: the build tooling is the</w:t>
      </w:r>
      <w:r>
        <w:t xml:space="preserve"> </w:t>
      </w:r>
      <w:r>
        <w:t xml:space="preserve">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Both halves of the rule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half-measure.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5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5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5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 lock</w:t>
        </w:r>
      </w:hyperlink>
      <w:r>
        <w:t xml:space="preserve"> </w:t>
      </w:r>
      <w:r>
        <w:t xml:space="preserve">covers the CI-facing half, including the regenerate-and-diff gate that keeps the lock honest. Two</w:t>
      </w:r>
      <w:r>
        <w:t xml:space="preserve"> </w:t>
      </w:r>
      <w:r>
        <w:t xml:space="preserve">deltas belong here rather than there.</w:t>
      </w:r>
    </w:p>
    <w:p>
      <w:pPr>
        <w:pStyle w:val="BodyText"/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BodyText"/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06"/>
        </w:numPr>
      </w:pPr>
      <w:r>
        <w:t xml:space="preserve">a restricted network posture</w:t>
      </w:r>
    </w:p>
    <w:p>
      <w:pPr>
        <w:pStyle w:val="Compact"/>
        <w:numPr>
          <w:ilvl w:val="0"/>
          <w:numId w:val="1006"/>
        </w:numPr>
      </w:pPr>
      <w:r>
        <w:t xml:space="preserve">authentication required</w:t>
      </w:r>
    </w:p>
    <w:p>
      <w:pPr>
        <w:pStyle w:val="Compact"/>
        <w:numPr>
          <w:ilvl w:val="0"/>
          <w:numId w:val="1006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06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2" w:name="outbound-what-you-publish"/>
    <w:p>
      <w:pPr>
        <w:pStyle w:val="Heading2"/>
      </w:pPr>
      <w:r>
        <w:t xml:space="preserve">Outbound: what you publish</w:t>
      </w:r>
    </w:p>
    <w:bookmarkStart w:id="31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One instance worth naming:</w:t>
      </w:r>
      <w:r>
        <w:t xml:space="preserve"> </w:t>
      </w:r>
      <w:r>
        <w:rPr>
          <w:b/>
          <w:bCs/>
        </w:rPr>
        <w:t xml:space="preserve">material a project treats as withheld can travel inside a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, without anyone reviewing the packaging list. That is the case people assume cannot</w:t>
      </w:r>
      <w:r>
        <w:t xml:space="preserve"> </w:t>
      </w:r>
      <w:r>
        <w:t xml:space="preserve">happen. It happens because the packaging list was written as an exclusion and the material was added</w:t>
      </w:r>
      <w:r>
        <w:t xml:space="preserve"> </w:t>
      </w:r>
      <w:r>
        <w:t xml:space="preserve">later.</w:t>
      </w:r>
    </w:p>
    <w:p>
      <w:pPr>
        <w:pStyle w:val="BodyText"/>
      </w:pPr>
      <w:r>
        <w:t xml:space="preserve">Checking the thing you built is not checking the thing that shipped. The rule itself is covered in</w:t>
      </w:r>
      <w:r>
        <w:t xml:space="preserve"> </w:t>
      </w:r>
      <w:r>
        <w:t xml:space="preserve">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 sweeps</w:t>
        </w:r>
      </w:hyperlink>
      <w:r>
        <w:t xml:space="preserve">,</w:t>
      </w:r>
      <w:r>
        <w:t xml:space="preserve"> </w:t>
      </w:r>
      <w:r>
        <w:t xml:space="preserve">and not restated.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people.</w:t>
      </w:r>
    </w:p>
    <w:p>
      <w:pPr>
        <w:pStyle w:val="BodyText"/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 trigger</w:t>
      </w:r>
      <w:r>
        <w:t xml:space="preserve"> </w:t>
      </w:r>
      <w:r>
        <w:t xml:space="preserve">that grants write credentials to code from an untrusted contributor. Pin the publishing action.</w:t>
      </w:r>
    </w:p>
    <w:p>
      <w:pPr>
        <w:pStyle w:val="BodyText"/>
      </w:pPr>
      <w:r>
        <w:rPr>
          <w:b/>
          <w:bCs/>
        </w:rPr>
        <w:t xml:space="preserve">A per-run credential does not defend against takeover of the publishing account.</w:t>
      </w:r>
      <w:r>
        <w:t xml:space="preserve"> </w:t>
      </w:r>
      <w:r>
        <w:t xml:space="preserve">Multi-factor on</w:t>
      </w:r>
      <w:r>
        <w:t xml:space="preserve"> </w:t>
      </w:r>
      <w:r>
        <w:t xml:space="preserve">the account and environment protection rules are what cover that, and they are a different control.</w:t>
      </w:r>
    </w:p>
    <w:p>
      <w:pPr>
        <w:pStyle w:val="BodyText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</w:t>
      </w:r>
    </w:p>
    <w:p>
      <w:pPr>
        <w:pStyle w:val="BodyText"/>
      </w:pPr>
      <w:r>
        <w:t xml:space="preserve">Signing repository tags and commits remains worthwhile for source provenance.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 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further. The published build-level frameworks are</w:t>
      </w:r>
      <w:r>
        <w:t xml:space="preserve"> </w:t>
      </w:r>
      <w:r>
        <w:t xml:space="preserve">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removes</w:t>
      </w:r>
      <w:r>
        <w:t xml:space="preserve"> </w:t>
      </w:r>
      <w:r>
        <w:t xml:space="preserve">long-lived key management, which is a real win. Be clear about what it does to the threat model</w:t>
      </w:r>
      <w:r>
        <w:t xml:space="preserve"> </w:t>
      </w:r>
      <w:r>
        <w:t xml:space="preserve">rather than what it removes from it.</w:t>
      </w:r>
    </w:p>
    <w:p>
      <w:pPr>
        <w:pStyle w:val="BodyText"/>
      </w:pPr>
      <w:r>
        <w:t xml:space="preserve">You are no longer protecting a key, you are protecting the pipeline identity. Account multi-factor,</w:t>
      </w:r>
      <w:r>
        <w:t xml:space="preserve"> </w:t>
      </w:r>
      <w:r>
        <w:t xml:space="preserve">branch protection and pipeline hardening become the load-bearing controls. A project that adopts</w:t>
      </w:r>
      <w:r>
        <w:t xml:space="preserve"> </w:t>
      </w:r>
      <w:r>
        <w:t xml:space="preserve">keyless signing and 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</w:t>
      </w:r>
    </w:p>
    <w:p>
      <w:pPr>
        <w:pStyle w:val="BodyText"/>
      </w:pPr>
      <w:r>
        <w:t xml:space="preserve">It buys at least:</w:t>
      </w:r>
    </w:p>
    <w:p>
      <w:pPr>
        <w:pStyle w:val="Compact"/>
        <w:numPr>
          <w:ilvl w:val="0"/>
          <w:numId w:val="1007"/>
        </w:numPr>
      </w:pPr>
      <w:r>
        <w:t xml:space="preserve">answering</w:t>
      </w:r>
      <w:r>
        <w:t xml:space="preserve"> </w:t>
      </w:r>
      <w:r>
        <w:rPr>
          <w:i/>
          <w:iCs/>
        </w:rPr>
        <w:t xml:space="preserve">do we ship component X</w:t>
      </w:r>
      <w:r>
        <w:t xml:space="preserve"> </w:t>
      </w:r>
      <w:r>
        <w:t xml:space="preserve">within minutes of a widely publicised advisory</w:t>
      </w:r>
    </w:p>
    <w:p>
      <w:pPr>
        <w:pStyle w:val="Compact"/>
        <w:numPr>
          <w:ilvl w:val="0"/>
          <w:numId w:val="1007"/>
        </w:numPr>
      </w:pPr>
      <w:r>
        <w:t xml:space="preserve">drift detection, by diffing a produced inventory against the intended manifest</w:t>
      </w:r>
    </w:p>
    <w:p>
      <w:pPr>
        <w:pStyle w:val="Compact"/>
        <w:numPr>
          <w:ilvl w:val="0"/>
          <w:numId w:val="1007"/>
        </w:numPr>
      </w:pPr>
      <w:r>
        <w:t xml:space="preserve">satisfying procurement reviews that ask for one</w:t>
      </w:r>
    </w:p>
    <w:p>
      <w:pPr>
        <w:pStyle w:val="FirstParagraph"/>
      </w:pPr>
      <w:r>
        <w:t xml:space="preserve">It does not detect tampering with your own code. Nothing about it is a signature.</w:t>
      </w:r>
    </w:p>
    <w:bookmarkEnd w:id="36"/>
    <w:bookmarkStart w:id="39" w:name="X42bc8ea013f50cd03313a76621802c865003691"/>
    <w:p>
      <w:pPr>
        <w:pStyle w:val="Heading3"/>
      </w:pPr>
      <w:r>
        <w:t xml:space="preserve">The inventory is a published artifact, and the buyer calls it an SBOM</w:t>
      </w:r>
    </w:p>
    <w:p>
      <w:pPr>
        <w:pStyle w:val="FirstParagraph"/>
      </w:pPr>
      <w:r>
        <w:t xml:space="preserve">What this document calls a component inventory, a procurement questionnaire calls a</w:t>
      </w:r>
      <w:r>
        <w:t xml:space="preserve"> </w:t>
      </w:r>
      <w:r>
        <w:rPr>
          <w:b/>
          <w:bCs/>
        </w:rPr>
        <w:t xml:space="preserve">software bill</w:t>
      </w:r>
      <w:r>
        <w:rPr>
          <w:b/>
          <w:bCs/>
        </w:rPr>
        <w:t xml:space="preserve"> </w:t>
      </w:r>
      <w:r>
        <w:rPr>
          <w:b/>
          <w:bCs/>
        </w:rPr>
        <w:t xml:space="preserve">of materials</w:t>
      </w:r>
      <w:r>
        <w:t xml:space="preserve">. Same artifact, two vocabularies, and the second is the one you will be asked for in</w:t>
      </w:r>
      <w:r>
        <w:t xml:space="preserve"> </w:t>
      </w:r>
      <w:r>
        <w:t xml:space="preserve">writing.</w:t>
      </w:r>
    </w:p>
    <w:p>
      <w:pPr>
        <w:pStyle w:val="BodyText"/>
      </w:pPr>
      <w:r>
        <w:t xml:space="preserve">Which regimes ask for one, which machine-readable formats are current, and what the published</w:t>
      </w:r>
      <w:r>
        <w:t xml:space="preserve"> </w:t>
      </w:r>
      <w:r>
        <w:t xml:space="preserve">minimum-element sets do and do not require are on the site already and are not restated here:</w:t>
      </w:r>
      <w:r>
        <w:t xml:space="preserve"> </w:t>
      </w:r>
      <w:hyperlink r:id="rId37">
        <w:r>
          <w:rPr>
            <w:rStyle w:val="Hyperlink"/>
          </w:rPr>
          <w:t xml:space="preserve">the standards reference</w:t>
        </w:r>
      </w:hyperlink>
      <w:r>
        <w:t xml:space="preserve">. Three properties decide whether the artifact</w:t>
      </w:r>
      <w:r>
        <w:t xml:space="preserve"> </w:t>
      </w:r>
      <w:r>
        <w:t xml:space="preserve">answers anything, and none of them are the format.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one inventory</w:t>
      </w:r>
      <w:r>
        <w:t xml:space="preserve"> </w:t>
      </w:r>
      <w:r>
        <w:rPr>
          <w:b/>
          <w:bCs/>
        </w:rPr>
        <w:t xml:space="preserve">per released artifact</w:t>
      </w:r>
      <w:r>
        <w:t xml:space="preserve">, generated by</w:t>
      </w:r>
      <w:r>
        <w:t xml:space="preserve"> </w:t>
      </w:r>
      <w:r>
        <w:rPr>
          <w:b/>
          <w:bCs/>
        </w:rPr>
        <w:t xml:space="preserve">the build that produced</w:t>
      </w:r>
      <w:r>
        <w:rPr>
          <w:b/>
          <w:bCs/>
        </w:rPr>
        <w:t xml:space="preserve"> </w:t>
      </w:r>
      <w:r>
        <w:rPr>
          <w:b/>
          <w:bCs/>
        </w:rPr>
        <w:t xml:space="preserve">that artifact</w:t>
      </w:r>
      <w:r>
        <w:t xml:space="preserve">, and serve it wherever the artifact is served.</w:t>
      </w:r>
    </w:p>
    <w:p>
      <w:pPr>
        <w:pStyle w:val="BodyText"/>
      </w:pPr>
      <w:r>
        <w:rPr>
          <w:b/>
          <w:bCs/>
        </w:rPr>
        <w:t xml:space="preserve">Per released artifact, not per project.</w:t>
      </w:r>
      <w:r>
        <w:t xml:space="preserve"> </w:t>
      </w:r>
      <w:r>
        <w:t xml:space="preserve">A repository-level inventory describes a moving target.</w:t>
      </w:r>
      <w:r>
        <w:t xml:space="preserve"> </w:t>
      </w:r>
      <w:r>
        <w:t xml:space="preserve">The question an inventory exists to answer is version-shaped --</w:t>
      </w:r>
      <w:r>
        <w:t xml:space="preserve"> </w:t>
      </w:r>
      <w:r>
        <w:rPr>
          <w:i/>
          <w:iCs/>
        </w:rPr>
        <w:t xml:space="preserve">what is in the version this adopter</w:t>
      </w:r>
      <w:r>
        <w:rPr>
          <w:i/>
          <w:iCs/>
        </w:rPr>
        <w:t xml:space="preserve"> </w:t>
      </w:r>
      <w:r>
        <w:rPr>
          <w:i/>
          <w:iCs/>
        </w:rPr>
        <w:t xml:space="preserve">is running</w:t>
      </w:r>
      <w:r>
        <w:t xml:space="preserve"> </w:t>
      </w:r>
      <w:r>
        <w:t xml:space="preserve">-- which is the same question the release archive answers, one section down. An inventory</w:t>
      </w:r>
      <w:r>
        <w:t xml:space="preserve"> </w:t>
      </w:r>
      <w:r>
        <w:t xml:space="preserve">not pinned to a released version cannot answer it, and reads as though it can.</w:t>
      </w:r>
    </w:p>
    <w:p>
      <w:pPr>
        <w:pStyle w:val="BodyText"/>
      </w:pPr>
      <w:r>
        <w:rPr>
          <w:b/>
          <w:bCs/>
        </w:rPr>
        <w:t xml:space="preserve">Generated by the build, never hand-maintained.</w:t>
      </w:r>
      <w:r>
        <w:t xml:space="preserve"> </w:t>
      </w:r>
      <w:r>
        <w:t xml:space="preserve">A hand-written list is accurate on the day it is</w:t>
      </w:r>
      <w:r>
        <w:t xml:space="preserve"> </w:t>
      </w:r>
      <w:r>
        <w:t xml:space="preserve">written and silently wrong afterwards. It is the exclusion-list failure with the sign flipped: an</w:t>
      </w:r>
      <w:r>
        <w:t xml:space="preserve"> </w:t>
      </w:r>
      <w:r>
        <w:t xml:space="preserve">exclusion list ships whatever nobody thought to exclude, a hand-maintained inventory omits whatever</w:t>
      </w:r>
      <w:r>
        <w:t xml:space="preserve"> </w:t>
      </w:r>
      <w:r>
        <w:t xml:space="preserve">nobody thought to add. Both are right about everything except the thing that changed.</w:t>
      </w:r>
    </w:p>
    <w:p>
      <w:pPr>
        <w:pStyle w:val="BodyText"/>
      </w:pPr>
      <w:r>
        <w:rPr>
          <w:b/>
          <w:bCs/>
        </w:rPr>
        <w:t xml:space="preserve">Served, not available on request.</w:t>
      </w:r>
      <w:r>
        <w:t xml:space="preserve"> </w:t>
      </w:r>
      <w:r>
        <w:t xml:space="preserve">An inventory a buyer has to email you for is a support process</w:t>
      </w:r>
      <w:r>
        <w:t xml:space="preserve"> </w:t>
      </w:r>
      <w:r>
        <w:t xml:space="preserve">rather than an artifact. Attaching it to the release costs nothing per release once wired, and it</w:t>
      </w:r>
      <w:r>
        <w:t xml:space="preserve"> </w:t>
      </w:r>
      <w:r>
        <w:t xml:space="preserve">takes you out of the loop on the day an advisory lands and every adopter asks the same question at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/>
          <w:bCs/>
        </w:rPr>
        <w:t xml:space="preserve">What it establishes, and the line past which it establishes nothing.</w:t>
      </w:r>
      <w:r>
        <w:t xml:space="preserve"> </w:t>
      </w:r>
      <w:r>
        <w:t xml:space="preserve">An inventory states</w:t>
      </w:r>
      <w: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is in the build</w:t>
      </w:r>
      <w:r>
        <w:t xml:space="preserve">. It does not state that any of it is</w:t>
      </w:r>
      <w:r>
        <w:t xml:space="preserve"> </w:t>
      </w:r>
      <w:r>
        <w:rPr>
          <w:b/>
          <w:bCs/>
        </w:rPr>
        <w:t xml:space="preserve">exploitable in a given configuration</w:t>
      </w:r>
      <w:r>
        <w:t xml:space="preserve">, and</w:t>
      </w:r>
      <w:r>
        <w:t xml:space="preserve"> </w:t>
      </w:r>
      <w:r>
        <w:t xml:space="preserve">the gap between those two sentences is where most inventory-driven effort is wasted. Whether a listed</w:t>
      </w:r>
      <w:r>
        <w:t xml:space="preserve"> </w:t>
      </w:r>
      <w:r>
        <w:t xml:space="preserve">component is a risk depends on whether the affected code path is built in at all, whether it is</w:t>
      </w:r>
      <w:r>
        <w:t xml:space="preserve"> </w:t>
      </w:r>
      <w:r>
        <w:t xml:space="preserve">invoked, whether it is reachable given the deployment's configuration, and whether an attacker</w:t>
      </w:r>
      <w:r>
        <w:t xml:space="preserve"> </w:t>
      </w:r>
      <w:r>
        <w:t xml:space="preserve">controls an input that reaches it. A manifest produced by a tool that read the build carries none of</w:t>
      </w:r>
      <w:r>
        <w:t xml:space="preserve"> </w:t>
      </w:r>
      <w:r>
        <w:t xml:space="preserve">that and cannot.</w:t>
      </w:r>
    </w:p>
    <w:p>
      <w:pPr>
        <w:pStyle w:val="BodyText"/>
      </w:pPr>
      <w:r>
        <w:t xml:space="preserve">That answer is a</w:t>
      </w:r>
      <w:r>
        <w:t xml:space="preserve"> </w:t>
      </w:r>
      <w:r>
        <w:rPr>
          <w:b/>
          <w:bCs/>
        </w:rPr>
        <w:t xml:space="preserve">separate, per-advisory statement</w:t>
      </w:r>
      <w:r>
        <w:t xml:space="preserve">: for one advisory against one listed component,</w:t>
      </w:r>
      <w:r>
        <w:t xml:space="preserve"> </w:t>
      </w:r>
      <w:r>
        <w:t xml:space="preserve">whether this product is affected and why. Machine-readable vocabularies for it exist -- the one in</w:t>
      </w:r>
      <w:r>
        <w:t xml:space="preserve"> </w:t>
      </w:r>
      <w:r>
        <w:t xml:space="preserve">general circulation is an exploitability statement, or VEX -- and what a consumer reads out of one is</w:t>
      </w:r>
      <w:r>
        <w:t xml:space="preserve"> </w:t>
      </w:r>
      <w:r>
        <w:t xml:space="preserve">a status per advisory per product, plus the reason behind that status. Its author is you, not the</w:t>
      </w:r>
      <w:r>
        <w:t xml:space="preserve"> </w:t>
      </w:r>
      <w:r>
        <w:t xml:space="preserve">tooling, which is exactly why it is the scarce artifact and the inventory is not.</w:t>
      </w:r>
    </w:p>
    <w:p>
      <w:pPr>
        <w:pStyle w:val="BodyText"/>
      </w:pPr>
      <w:r>
        <w:t xml:space="preserve">This is the statement you make about somebody else's advisory against a component you shipped. The</w:t>
      </w:r>
      <w:r>
        <w:t xml:space="preserve"> </w:t>
      </w:r>
      <w:r>
        <w:t xml:space="preserve">advisory you issue about a defect of your own runs the other direction and is section 12 of</w:t>
      </w:r>
      <w:r>
        <w:t xml:space="preserve"> </w:t>
      </w:r>
      <w:hyperlink r:id="rId38">
        <w:r>
          <w:rPr>
            <w:rStyle w:val="Hyperlink"/>
          </w:rPr>
          <w:t xml:space="preserve">secure development</w:t>
        </w:r>
      </w:hyperlink>
      <w:r>
        <w:t xml:space="preserve">; the two are adjacent, both are configuration-conditional</w:t>
      </w:r>
      <w:r>
        <w:t xml:space="preserve"> </w:t>
      </w:r>
      <w:r>
        <w:t xml:space="preserve">claims about exploitability, and they are not the same document.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Label which of the two you are handing over. Never let an inventory entry be read as an</w:t>
      </w:r>
      <w:r>
        <w:t xml:space="preserve"> </w:t>
      </w:r>
      <w:r>
        <w:t xml:space="preserve">exposure, and never let an absence be read as safety -- an inventory is only as complete as the build</w:t>
      </w:r>
      <w:r>
        <w:t xml:space="preserve"> </w:t>
      </w:r>
      <w:r>
        <w:t xml:space="preserve">it was generated from, and anything that entered the running system after the build is not in it at</w:t>
      </w:r>
      <w:r>
        <w:t xml:space="preserve"> </w:t>
      </w:r>
      <w:r>
        <w:t xml:space="preserve">all.</w:t>
      </w:r>
    </w:p>
    <w:bookmarkEnd w:id="39"/>
    <w:bookmarkStart w:id="40" w:name="Xba66da458291c5cb2f6035363062d9fbfdae140"/>
    <w:p>
      <w:pPr>
        <w:pStyle w:val="Heading3"/>
      </w:pPr>
      <w:r>
        <w:t xml:space="preserve">If you host the software, the useful inventory is of the runtime</w:t>
      </w:r>
    </w:p>
    <w:p>
      <w:pPr>
        <w:pStyle w:val="FirstParagraph"/>
      </w:pPr>
      <w:r>
        <w:t xml:space="preserve">This distinction is the one most SBOM advice skips, and it changes which document is the right one to</w:t>
      </w:r>
      <w:r>
        <w:t xml:space="preserve"> </w:t>
      </w:r>
      <w:r>
        <w:t xml:space="preserve">hand over.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distribute</w:t>
      </w:r>
      <w:r>
        <w:t xml:space="preserve">, a build-time inventory of the released artifact is exactly right:</w:t>
      </w:r>
      <w:r>
        <w:t xml:space="preserve"> </w:t>
      </w:r>
      <w:r>
        <w:t xml:space="preserve">the adopter installs that artifact, so its inventory describes what they are running.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operate on their behalf</w:t>
      </w:r>
      <w:r>
        <w:t xml:space="preserve">, it is the wrong document. What is running is a deployed</w:t>
      </w:r>
      <w:r>
        <w:t xml:space="preserve"> </w:t>
      </w:r>
      <w:r>
        <w:t xml:space="preserve">environment -- base images, operating-system packages, sidecar and agent processes, and whatever was</w:t>
      </w:r>
      <w:r>
        <w:t xml:space="preserve"> </w:t>
      </w:r>
      <w:r>
        <w:t xml:space="preserve">patched in place since the build -- and a manifest of your source dependencies describes none of it.</w:t>
      </w:r>
    </w:p>
    <w:p>
      <w:pPr>
        <w:pStyle w:val="BodyText"/>
      </w:pPr>
      <w:r>
        <w:t xml:space="preserve">This is not a niche reading. A US federal memorandum of 2026-01-23 tells agencies they may adopt a</w:t>
      </w:r>
      <w:r>
        <w:t xml:space="preserve"> </w:t>
      </w:r>
      <w:r>
        <w:t xml:space="preserve">contract term requiring a producer to supply an SBOM on request, and attaches a footnote for the</w:t>
      </w:r>
      <w:r>
        <w:t xml:space="preserve"> </w:t>
      </w:r>
      <w:r>
        <w:t xml:space="preserve">cloud case: an agency adopting that term should specify that the producer must provide an SBOM "of</w:t>
      </w:r>
      <w:r>
        <w:t xml:space="preserve"> </w:t>
      </w:r>
      <w:r>
        <w:t xml:space="preserve">the runtime production environment".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distribute software, publish the inventory of the released artifact. If you host it,</w:t>
      </w:r>
      <w:r>
        <w:t xml:space="preserve"> </w:t>
      </w:r>
      <w:r>
        <w:t xml:space="preserve">publish an inventory of the runtime production environment as well, and label each for what it is. A</w:t>
      </w:r>
      <w:r>
        <w:t xml:space="preserve"> </w:t>
      </w:r>
      <w:r>
        <w:t xml:space="preserve">buyer who asked a hosted service for an SBOM and received a build manifest has not learned what is</w:t>
      </w:r>
      <w:r>
        <w:t xml:space="preserve"> </w:t>
      </w:r>
      <w:r>
        <w:t xml:space="preserve">running, and will usually not notice.</w:t>
      </w:r>
    </w:p>
    <w:bookmarkEnd w:id="40"/>
    <w:bookmarkStart w:id="41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43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08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08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08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43"/>
    <w:bookmarkStart w:id="45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</w:t>
      </w:r>
    </w:p>
    <w:p>
      <w:pPr>
        <w:pStyle w:val="BodyText"/>
      </w:pPr>
      <w:r>
        <w:t xml:space="preserve">The chain of trust only terminates in hardware measured boot, which is the operator's platform</w:t>
      </w:r>
      <w:r>
        <w:t xml:space="preserve"> </w:t>
      </w:r>
      <w:r>
        <w:t xml:space="preserve">decision and not something your software 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5"/>
    <w:bookmarkStart w:id="47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09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09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09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09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09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guide, with a concrete list of paths</w:t>
      </w:r>
      <w:r>
        <w:t xml:space="preserve"> </w:t>
      </w:r>
      <w:r>
        <w:t xml:space="preserve">to monitor and example rules. An operator then has something to apply on day one rather than a</w:t>
      </w:r>
      <w:r>
        <w:t xml:space="preserve"> </w:t>
      </w:r>
      <w:r>
        <w:t xml:space="preserve">category 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</w:t>
      </w:r>
    </w:p>
    <w:p>
      <w:pPr>
        <w:pStyle w:val="BodyText"/>
      </w:pPr>
      <w:r>
        <w:rPr>
          <w:b/>
          <w:bCs/>
        </w:rPr>
        <w:t xml:space="preserve">The producing project owns</w:t>
      </w:r>
      <w:r>
        <w:t xml:space="preserve"> </w:t>
      </w:r>
      <w:r>
        <w:t xml:space="preserve">secure development practice, secure-by-default configuration, testing</w:t>
      </w:r>
      <w:r>
        <w:t xml:space="preserve"> </w:t>
      </w:r>
      <w:r>
        <w:t xml:space="preserve">and attestation of the software, vulnerability response, and evidence.</w:t>
      </w:r>
    </w:p>
    <w:p>
      <w:pPr>
        <w:pStyle w:val="BodyText"/>
      </w:pPr>
      <w:r>
        <w:rPr>
          <w:b/>
          <w:bCs/>
        </w:rPr>
        <w:t xml:space="preserve">The operating organization owns</w:t>
      </w:r>
      <w:r>
        <w:t xml:space="preserve"> </w:t>
      </w:r>
      <w:r>
        <w:t xml:space="preserve">host and network, identity and key management in their</w:t>
      </w:r>
      <w:r>
        <w:t xml:space="preserve"> </w:t>
      </w:r>
      <w:r>
        <w:t xml:space="preserve">environment, backups and availability, their own compliance program, and monitoring and patching.</w:t>
      </w:r>
    </w:p>
    <w:p>
      <w:pPr>
        <w:pStyle w:val="BodyText"/>
      </w:pPr>
      <w:r>
        <w:t xml:space="preserve">State plainly that shipping the software confers no certification on the operator. Your attestation</w:t>
      </w:r>
      <w:r>
        <w:t xml:space="preserve"> </w:t>
      </w:r>
      <w:r>
        <w:t xml:space="preserve">is an input to their assessment, never a substitute for it. The register to use for that wording is</w:t>
      </w:r>
      <w:r>
        <w:t xml:space="preserve"> </w:t>
      </w:r>
      <w:r>
        <w:t xml:space="preserve">on the site already -- built to, aligned with, self-assessed against, never certified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7"/>
    <w:bookmarkStart w:id="48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unmet. One example: the enforcing component cannot reach the store holding</w:t>
      </w:r>
      <w:r>
        <w:t xml:space="preserve"> </w:t>
      </w:r>
      <w:r>
        <w:t xml:space="preserve">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8"/>
    <w:bookmarkStart w:id="49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host-specific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</w:t>
            </w:r>
            <w:r>
              <w:t xml:space="preserve"> </w:t>
            </w:r>
            <w:r>
              <w:rPr>
                <w:b/>
                <w:bCs/>
              </w:rPr>
              <w:t xml:space="preserve">released artifact</w:t>
            </w:r>
            <w:r>
              <w:t xml:space="preserve">, generated by the build,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hosted service publishes an inventory of the</w:t>
            </w:r>
            <w:r>
              <w:t xml:space="preserve"> </w:t>
            </w:r>
            <w:r>
              <w:rPr>
                <w:b/>
                <w:bCs/>
              </w:rPr>
              <w:t xml:space="preserve">runtime environment</w:t>
            </w:r>
            <w:r>
              <w:t xml:space="preserve">, not only of the build</w:t>
            </w:r>
          </w:p>
        </w:tc>
        <w:tc>
          <w:tcPr/>
          <w:p>
            <w:pPr>
              <w:pStyle w:val="Compact"/>
            </w:pPr>
            <w:r>
              <w:t xml:space="preserve">Universal in concept, deployment-specific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51"/>
    <w:bookmarkStart w:id="52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One inventory per released artifact, generated by the build, served where the artifact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states what is in the build, never what is exploitable in a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If you operate the software, publish an inventory of the runtime environment, not only of the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inventory stays per-artifact and build-generated.</w:t>
      </w:r>
      <w:r>
        <w:t xml:space="preserve"> </w:t>
      </w:r>
      <w:r>
        <w:t xml:space="preserve">A hand-maintained one is correct until</w:t>
      </w:r>
      <w:r>
        <w:t xml:space="preserve"> </w:t>
      </w:r>
      <w:r>
        <w:t xml:space="preserve">the first change nobody remembered to record, and it is correct-looking forever after.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59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2"/>
        </w:numPr>
      </w:pPr>
      <w:hyperlink r:id="rId2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2"/>
        </w:numPr>
      </w:pPr>
      <w:hyperlink r:id="rId5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2"/>
        </w:numPr>
      </w:pPr>
      <w:hyperlink r:id="rId56">
        <w:r>
          <w:rPr>
            <w:rStyle w:val="Hyperlink"/>
          </w:rPr>
          <w:t xml:space="preserve">What to have ready when a buyer asks</w:t>
        </w:r>
      </w:hyperlink>
      <w:r>
        <w:t xml:space="preserve"> </w:t>
      </w:r>
      <w:r>
        <w:t xml:space="preserve">-- where the inventory published</w:t>
      </w:r>
      <w:r>
        <w:t xml:space="preserve"> </w:t>
      </w:r>
      <w:r>
        <w:t xml:space="preserve">here ends up, what a buyer reads it as proving, and why organization-layer evidence cannot stand in</w:t>
      </w:r>
      <w:r>
        <w:t xml:space="preserve"> </w:t>
      </w:r>
      <w:r>
        <w:t xml:space="preserve">for software-layer evidence</w:t>
      </w:r>
    </w:p>
    <w:p>
      <w:pPr>
        <w:pStyle w:val="Compact"/>
        <w:numPr>
          <w:ilvl w:val="0"/>
          <w:numId w:val="1012"/>
        </w:numPr>
      </w:pPr>
      <w:hyperlink r:id="rId57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2"/>
        </w:numPr>
      </w:pPr>
      <w:hyperlink r:id="rId58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6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58" Target="https://claude-multisession.pages.dev/CASE-STUDY-drift-audit.html" TargetMode="External" /><Relationship Type="http://schemas.openxmlformats.org/officeDocument/2006/relationships/hyperlink" Id="rId55" Target="https://claude-multisession.pages.dev/LEAK-GATE.html" TargetMode="External" /><Relationship Type="http://schemas.openxmlformats.org/officeDocument/2006/relationships/hyperlink" Id="rId53" Target="https://claude-multisession.pages.dev/LEAK-GATE.html#the-caveat-that-matters-most" TargetMode="External" /><Relationship Type="http://schemas.openxmlformats.org/officeDocument/2006/relationships/hyperlink" Id="rId57" Target="https://claude-multisession.pages.dev/TIPS-AND-TRICKS.html" TargetMode="External" /><Relationship Type="http://schemas.openxmlformats.org/officeDocument/2006/relationships/hyperlink" Id="rId9" Target="https://secure-development-standards.pages.dev/standards/DEPENDENCY-INTEGRITY.md" TargetMode="External" /><Relationship Type="http://schemas.openxmlformats.org/officeDocument/2006/relationships/hyperlink" Id="rId10" Target="https://secure-development-standards.pages.dev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6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58" Target="https://claude-multisession.pages.dev/CASE-STUDY-drift-audit.html" TargetMode="External" /><Relationship Type="http://schemas.openxmlformats.org/officeDocument/2006/relationships/hyperlink" Id="rId55" Target="https://claude-multisession.pages.dev/LEAK-GATE.html" TargetMode="External" /><Relationship Type="http://schemas.openxmlformats.org/officeDocument/2006/relationships/hyperlink" Id="rId53" Target="https://claude-multisession.pages.dev/LEAK-GATE.html#the-caveat-that-matters-most" TargetMode="External" /><Relationship Type="http://schemas.openxmlformats.org/officeDocument/2006/relationships/hyperlink" Id="rId57" Target="https://claude-multisession.pages.dev/TIPS-AND-TRICKS.html" TargetMode="External" /><Relationship Type="http://schemas.openxmlformats.org/officeDocument/2006/relationships/hyperlink" Id="rId9" Target="https://secure-development-standards.pages.dev/standards/DEPENDENCY-INTEGRITY.md" TargetMode="External" /><Relationship Type="http://schemas.openxmlformats.org/officeDocument/2006/relationships/hyperlink" Id="rId10" Target="https://secure-development-standards.pages.dev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2026-08-10T21:47:51Z</dcterms:created>
  <dcterms:modified xsi:type="dcterms:W3CDTF">2026-08-10T21:47:51Z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