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How deeply a human reads what an assistant produces, decided per change before the</w:t>
      </w:r>
      <w:r>
        <w:t xml:space="preserve"> </w:t>
      </w:r>
      <w:r>
        <w:t xml:space="preserve">code exists rather than as a share of the codebase.</w:t>
      </w:r>
    </w:p>
    <w:p>
      <w:pPr>
        <w:pStyle w:val="BodyText"/>
      </w:pPr>
      <w:r>
        <w:rPr>
          <w:b/>
          <w:bCs/>
        </w:rPr>
        <w:t xml:space="preserve">Why it matters.</w:t>
      </w:r>
      <w:r>
        <w:t xml:space="preserve"> </w:t>
      </w:r>
      <w:r>
        <w:t xml:space="preserve">Every answer that fails here is a quantity. A percentage cannot be assigned to</w:t>
      </w:r>
      <w:r>
        <w:t xml:space="preserve"> </w:t>
      </w:r>
      <w:r>
        <w:t xml:space="preserve">the change in front of you, so "review 30 percent" means the easy 30 percent, and no evidence</w:t>
      </w:r>
      <w:r>
        <w:t xml:space="preserve"> </w:t>
      </w:r>
      <w:r>
        <w:t xml:space="preserve">separates a team that did it from one that says it did.</w:t>
      </w:r>
    </w:p>
    <w:p>
      <w:pPr>
        <w:pStyle w:val="BodyText"/>
      </w:pPr>
      <w:r>
        <w:rPr>
          <w:b/>
          <w:bCs/>
        </w:rPr>
        <w:t xml:space="preserve">Benefits.</w:t>
      </w:r>
      <w:r>
        <w:t xml:space="preserve"> </w:t>
      </w:r>
      <w:r>
        <w:t xml:space="preserve">A deep read that lands only where it earns its cost, not attention spread evenly over</w:t>
      </w:r>
      <w:r>
        <w:t xml:space="preserve"> </w:t>
      </w:r>
      <w:r>
        <w:t xml:space="preserve">code that does not need it. Someone can also check the depth a change got by asking, without</w:t>
      </w:r>
      <w:r>
        <w:t xml:space="preserve"> </w:t>
      </w:r>
      <w:r>
        <w:t xml:space="preserve">reading code.</w:t>
      </w:r>
    </w:p>
    <w:p>
      <w:pPr>
        <w:pStyle w:val="BodyText"/>
      </w:pPr>
      <w:r>
        <w:rPr>
          <w:b/>
          <w:bCs/>
        </w:rPr>
        <w:t xml:space="preserve">Costs.</w:t>
      </w:r>
      <w:r>
        <w:t xml:space="preserve"> </w:t>
      </w:r>
      <w:r>
        <w:t xml:space="preserve">A tier resolved for every change before work starts, and a floor that has to survive</w:t>
      </w:r>
      <w:r>
        <w:t xml:space="preserve"> </w:t>
      </w:r>
      <w:r>
        <w:t xml:space="preserve">every other dial being turned down under deadline pressure. That decision takes judgment at the</w:t>
      </w:r>
      <w:r>
        <w:t xml:space="preserve"> </w:t>
      </w:r>
      <w:r>
        <w:t xml:space="preserve">start of each change, and judgment is not free. Where no clear boundary marks restricted data or</w:t>
      </w:r>
      <w:r>
        <w:t xml:space="preserve"> </w:t>
      </w:r>
      <w:r>
        <w:t xml:space="preserve">authorization, the rule clamps everything to the strictest tier, which is expensive.</w:t>
      </w:r>
      <w:r>
        <w:t xml:space="preserve"> </w:t>
      </w:r>
      <w:hyperlink w:anchor="costs-and-where-it-does-not-apply">
        <w:r>
          <w:rPr>
            <w:rStyle w:val="Hyperlink"/>
          </w:rPr>
          <w:t xml:space="preserve">What it costs, and where it does not apply</w:t>
        </w:r>
      </w:hyperlink>
      <w:r>
        <w:t xml:space="preserve"> </w:t>
      </w:r>
      <w:r>
        <w:t xml:space="preserve">is explicit.</w:t>
      </w:r>
    </w:p>
    <w:p>
      <w:pPr>
        <w:pStyle w:val="BodyText"/>
      </w:pPr>
      <w:r>
        <w:rPr>
          <w:b/>
          <w:bCs/>
        </w:rPr>
        <w:t xml:space="preserve">Not for you</w:t>
      </w:r>
      <w:r>
        <w:t xml:space="preserve"> </w:t>
      </w:r>
      <w:r>
        <w:t xml:space="preserve">as an attestation. None of it certifies anything. This is a bar to set and hold, not</w:t>
      </w:r>
      <w:r>
        <w:t xml:space="preserve"> </w:t>
      </w:r>
      <w:r>
        <w:t xml:space="preserve">something to present.</w:t>
      </w:r>
    </w:p>
    <w:p>
      <w:pPr>
        <w:pStyle w:val="BodyText"/>
      </w:pPr>
      <w:r>
        <w:rPr>
          <w:b/>
          <w:bCs/>
        </w:rPr>
        <w:t xml:space="preserve">Where to start.</w:t>
      </w:r>
      <w:r>
        <w:t xml:space="preserve"> </w:t>
      </w:r>
      <w:r>
        <w:t xml:space="preserve">Ask what the change touches, where unknown counts as yes. That sets the tier and</w:t>
      </w:r>
      <w:r>
        <w:t xml:space="preserve"> </w:t>
      </w:r>
      <w:r>
        <w:t xml:space="preserve">with it the depth, and it outranks size: a one-line change to an authorization path is not a</w:t>
      </w:r>
      <w:r>
        <w:t xml:space="preserve"> </w:t>
      </w:r>
      <w:r>
        <w:t xml:space="preserve">one-line-change review.</w:t>
      </w:r>
    </w:p>
    <w:p>
      <w:r>
        <w:pict>
          <v:rect style="width:0;height:1.5pt" o:hralign="center" o:hrstd="t" o:hr="t"/>
        </w:pict>
      </w:r>
    </w:p>
    <w:bookmarkEnd w:id="12"/>
    <w:bookmarkStart w:id="13" w:name="costs-and-where-it-does-not-apply"/>
    <w:p>
      <w:pPr>
        <w:pStyle w:val="Heading2"/>
      </w:pPr>
      <w:r>
        <w:t xml:space="preserve">Costs, and where it does not apply</w:t>
      </w:r>
    </w:p>
    <w:p>
      <w:pPr>
        <w:pStyle w:val="Compact"/>
        <w:numPr>
          <w:ilvl w:val="0"/>
          <w:numId w:val="1001"/>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1"/>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1"/>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1"/>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2"/>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2"/>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3"/>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3"/>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4"/>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4"/>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4"/>
        </w:numPr>
      </w:pPr>
      <w:r>
        <w:t xml:space="preserve">It does not apply to the two full-read conditions above. On a security seam, unaided is the bar.</w:t>
      </w:r>
    </w:p>
    <w:p>
      <w:pPr>
        <w:pStyle w:val="Compact"/>
        <w:numPr>
          <w:ilvl w:val="0"/>
          <w:numId w:val="1004"/>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5"/>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5"/>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5"/>
        </w:numPr>
      </w:pPr>
      <w:r>
        <w:rPr>
          <w:b/>
          <w:bCs/>
        </w:rPr>
        <w:t xml:space="preserve">Do not weaken the two full-read conditions.</w:t>
      </w:r>
      <w:r>
        <w:t xml:space="preserve"> </w:t>
      </w:r>
      <w:r>
        <w:t xml:space="preserve">They are the part that pays for itself.</w:t>
      </w:r>
    </w:p>
    <w:p>
      <w:pPr>
        <w:pStyle w:val="Compact"/>
        <w:numPr>
          <w:ilvl w:val="0"/>
          <w:numId w:val="1005"/>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2026-08-12T00:25:44Z</dcterms:created>
  <dcterms:modified xsi:type="dcterms:W3CDTF">2026-08-12T00:25:44Z</dcterms:modified>
</cp:coreProperties>
</file>

<file path=docProps/custom.xml><?xml version="1.0" encoding="utf-8"?>
<Properties xmlns="http://schemas.openxmlformats.org/officeDocument/2006/custom-properties" xmlns:vt="http://schemas.openxmlformats.org/officeDocument/2006/docPropsVTypes"/>
</file>