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rPr>
          <w:b/>
          <w:bCs/>
        </w:rPr>
        <w:t xml:space="preserve">A standard for building software with an AI coding assistant: what goes wrong in ways that look</w:t>
      </w:r>
      <w:r>
        <w:rPr>
          <w:b/>
          <w:bCs/>
        </w:rPr>
        <w:t xml:space="preserve"> </w:t>
      </w:r>
      <w:r>
        <w:rPr>
          <w:b/>
          <w:bCs/>
        </w:rPr>
        <w:t xml:space="preserve">like nothing going wrong, which control neutralizes each one, and how much rigor a given change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needs.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control set for AI-assisted work in which nothing is always-on except a short</w:t>
      </w:r>
      <w:r>
        <w:t xml:space="preserve"> </w:t>
      </w:r>
      <w:r>
        <w:t xml:space="preserve">floor. Everything else is a dial that the change's risk tier sets.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One line must not blur:</w:t>
      </w:r>
      <w:r>
        <w:t xml:space="preserve"> </w:t>
      </w:r>
      <w:r>
        <w:rPr>
          <w:b/>
          <w:bCs/>
        </w:rPr>
        <w:t xml:space="preserve">a gate is a deterministic check with an exit code,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model never certifies its own output.</w:t>
      </w:r>
      <w:r>
        <w:t xml:space="preserve"> </w:t>
      </w:r>
      <w:r>
        <w:t xml:space="preserve">An AI-run review is advisory input a human arbitrates,</w:t>
      </w:r>
      <w:r>
        <w:t xml:space="preserve"> </w:t>
      </w:r>
      <w:r>
        <w:t xml:space="preserve">and the moment it counts as a gate the rest of the structure is decorative.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The tier resolver is a human checklist with no automatic detector, and the</w:t>
      </w:r>
      <w:r>
        <w:t xml:space="preserve"> </w:t>
      </w:r>
      <w:r>
        <w:t xml:space="preserve">adversarial pass is wrong for most work.</w:t>
      </w:r>
      <w:r>
        <w:t xml:space="preserve"> </w:t>
      </w:r>
      <w:hyperlink w:anchor="Xeb4de11c7f9e84ded4ebc586203c6a5fc4cb3c1">
        <w:r>
          <w:rPr>
            <w:rStyle w:val="Hyperlink"/>
          </w:rPr>
          <w:t xml:space="preserve">What this costs you, and where it does not apply</w:t>
        </w:r>
      </w:hyperlink>
      <w:r>
        <w:t xml:space="preserve"> </w:t>
      </w:r>
      <w:r>
        <w:t xml:space="preserve">is explicit about both.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hooks, prompts, configuration or a product name. This page ships none of</w:t>
      </w:r>
      <w:r>
        <w:t xml:space="preserve"> </w:t>
      </w:r>
      <w:r>
        <w:t xml:space="preserve">them, confers no certification, and makes no speed claim.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One question classifies most changes: does any code path in it touch or protect</w:t>
      </w:r>
      <w:r>
        <w:t xml:space="preserve"> </w:t>
      </w:r>
      <w:r>
        <w:t xml:space="preserve">restricted data in production? If you cannot yet prove it never will, the answer is yes, and that</w:t>
      </w:r>
      <w:r>
        <w:t xml:space="preserve"> </w:t>
      </w:r>
      <w:r>
        <w:t xml:space="preserve">resolves to the strictest tier on its own.</w: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page ships nothing</w:t>
      </w:r>
      <w:r>
        <w:t xml:space="preserve"> </w:t>
      </w:r>
      <w:r>
        <w:t xml:space="preserve">-- no hooks, no prompts, no configuration, no workflow. It is a standard</w:t>
      </w:r>
      <w:r>
        <w:t xml:space="preserve"> </w:t>
      </w:r>
      <w:r>
        <w:t xml:space="preserve">and a set of rules, and everything it references as a mechanism lives in another page of this site</w:t>
      </w:r>
      <w:r>
        <w:t xml:space="preserve"> </w:t>
      </w:r>
      <w:r>
        <w:t xml:space="preserve">or in your own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 it</w:t>
      </w:r>
      <w:r>
        <w:t xml:space="preserve"> </w:t>
      </w:r>
      <w:r>
        <w:t xml:space="preserve">is not a substitute for an adopter's own assessment. It produces build-provenance evidence, which is</w:t>
      </w:r>
      <w:r>
        <w:t xml:space="preserve"> </w:t>
      </w:r>
      <w:r>
        <w:t xml:space="preserve">an input to somebody else's review, never a replacement for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 whose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 can</w:t>
      </w:r>
      <w:r>
        <w:t xml:space="preserve"> </w:t>
      </w:r>
      <w:r>
        <w:t xml:space="preserve">be revised, and every one of them was wrong within a release in the material this was drawn from.</w:t>
      </w:r>
      <w:r>
        <w:t xml:space="preserve"> </w:t>
      </w:r>
      <w:r>
        <w:t xml:space="preserve">Where a limit matters to a design decision, discover it with a pilot run rather than quote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surface; on a single-file change it adds latency and burn and improves nothing.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</w:t>
      </w:r>
      <w:r>
        <w:t xml:space="preserve"> </w:t>
      </w:r>
      <w:r>
        <w:t xml:space="preserve">content scan, because a path rule cannot stop a paste.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has a</w:t>
      </w:r>
      <w:r>
        <w:t xml:space="preserve"> </w:t>
      </w:r>
      <w:r>
        <w:t xml:space="preserve">working scanner and its blind spots.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assistant's review as</w:t>
      </w:r>
      <w:r>
        <w:t xml:space="preserve"> </w:t>
      </w:r>
      <w:r>
        <w:t xml:space="preserve">a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AI coding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rPr>
          <w:b/>
          <w:bCs/>
        </w:rPr>
        <w:t xml:space="preserve">The fifth mode bites hardest in self-review.</w:t>
      </w:r>
      <w:r>
        <w:t xml:space="preserve"> </w:t>
      </w:r>
      <w:r>
        <w:t xml:space="preserve">Assistance raises confidence faster than it raises</w:t>
      </w:r>
      <w:r>
        <w:t xml:space="preserve"> </w:t>
      </w:r>
      <w:r>
        <w:t xml:space="preserve">correctness, and the gap is widest exactly when the author reviews their own assisted output. That is</w:t>
      </w:r>
      <w:r>
        <w:t xml:space="preserve"> </w:t>
      </w:r>
      <w:r>
        <w:t xml:space="preserve">the strongest argument for keeping a review step you might otherwise drop for speed, and for the</w:t>
      </w:r>
      <w:r>
        <w:t xml:space="preserve"> </w:t>
      </w:r>
      <w:r>
        <w:t xml:space="preserve">adversarial verification pass in section 7.</w:t>
      </w:r>
    </w:p>
    <w:p>
      <w:pPr>
        <w:pStyle w:val="BodyText"/>
      </w:pPr>
      <w:r>
        <w:rPr>
          <w:b/>
          <w:bCs/>
        </w:rPr>
        <w:t xml:space="preserve">It also constrains what you may say about your own loop.</w:t>
      </w:r>
      <w:r>
        <w:t xml:space="preserve"> </w:t>
      </w:r>
      <w:r>
        <w:t xml:space="preserve">The site's rule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"Do not claim a speed or quality gain you have not measured here"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 your impressions of the loop, not only to</w:t>
      </w:r>
      <w:r>
        <w:t xml:space="preserve"> </w:t>
      </w:r>
      <w:r>
        <w:t xml:space="preserve">published figures.</w:t>
      </w:r>
    </w:p>
    <w:p>
      <w:r>
        <w:pict>
          <v:rect style="width:0;height:1.5pt" o:hralign="center" o:hrstd="t" o:hr="t"/>
        </w:pict>
      </w:r>
    </w:p>
    <w:bookmarkEnd w:id="18"/>
    <w:bookmarkStart w:id="24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19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</w:t>
      </w:r>
    </w:p>
    <w:p>
      <w:pPr>
        <w:pStyle w:val="BodyText"/>
      </w:pPr>
      <w:r>
        <w:t xml:space="preserve">Most day-to-day work in a system that carries sensitive data resolves on this question alone. The</w:t>
      </w:r>
      <w:r>
        <w:t xml:space="preserve"> </w:t>
      </w:r>
      <w:r>
        <w:t xml:space="preserve">reach axis matters mainly for code-only and synthetic-only changes.</w:t>
      </w:r>
    </w:p>
    <w:bookmarkEnd w:id="19"/>
    <w:bookmarkStart w:id="20" w:name="reach-is-blast-radius-not-headcount"/>
    <w:p>
      <w:pPr>
        <w:pStyle w:val="Heading3"/>
      </w:pPr>
      <w:r>
        <w:t xml:space="preserve">Reach is blast radius, not headcount</w:t>
      </w:r>
    </w:p>
    <w:p>
      <w:pPr>
        <w:pStyle w:val="FirstParagraph"/>
      </w:pPr>
      <w:r>
        <w:t xml:space="preserve">Four levels, set by how far a mistake in the change can travel.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</w:t>
      </w:r>
    </w:p>
    <w:p>
      <w:pPr>
        <w:pStyle w:val="BodyText"/>
      </w:pPr>
      <w:r>
        <w:rPr>
          <w:b/>
          <w:bCs/>
        </w:rPr>
        <w:t xml:space="preserve">Treat the matrix cells below as directional.</w:t>
      </w:r>
      <w:r>
        <w:t xml:space="preserve"> </w:t>
      </w:r>
      <w:r>
        <w:t xml:space="preserve">They were carried over from the team-size version</w:t>
      </w:r>
      <w:r>
        <w:t xml:space="preserve"> </w:t>
      </w:r>
      <w:r>
        <w:t xml:space="preserve">rather than re-derived against the new axis, so check them against your own work before adopting them</w:t>
      </w:r>
      <w:r>
        <w:t xml:space="preserve"> </w:t>
      </w:r>
      <w:r>
        <w:t xml:space="preserve">unchanged.</w:t>
      </w:r>
    </w:p>
    <w:bookmarkEnd w:id="20"/>
    <w:bookmarkStart w:id="21" w:name="sensitivity-is-the-dominant-ratchet"/>
    <w:p>
      <w:pPr>
        <w:pStyle w:val="Heading3"/>
      </w:pPr>
      <w:r>
        <w:t xml:space="preserve">Sensitivity is the dominant ratchet</w:t>
      </w:r>
    </w:p>
    <w:p>
      <w:pPr>
        <w:pStyle w:val="FirstParagraph"/>
      </w:pPr>
      <w:r>
        <w:t xml:space="preserve">This axis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 Four</w:t>
      </w:r>
      <w:r>
        <w:t xml:space="preserve"> </w:t>
      </w:r>
      <w:r>
        <w:t xml:space="preserve">levels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21"/>
    <w:bookmarkStart w:id="22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rPr>
          <w:b/>
          <w:bCs/>
        </w:rPr>
        <w:t xml:space="preserve">D2 and D3 force at least T3 regardless of reach; D1 floors at T2.</w:t>
      </w:r>
      <w:r>
        <w:t xml:space="preserve"> </w:t>
      </w:r>
      <w:r>
        <w:t xml:space="preserve">The two axes are not symmetric,</w:t>
      </w:r>
      <w:r>
        <w:t xml:space="preserve"> </w:t>
      </w:r>
      <w:r>
        <w:t xml:space="preserve">and that is deliberate -- reach only scales the lower-sensitivity cells.</w:t>
      </w:r>
    </w:p>
    <w:p>
      <w:pPr>
        <w:pStyle w:val="BodyText"/>
      </w:pPr>
      <w:r>
        <w:t xml:space="preserve">Reading the matrix as a lattice join guarantees monotonicity.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</w:t>
      </w:r>
      <w:r>
        <w:t xml:space="preserve"> </w:t>
      </w:r>
      <w:r>
        <w:t xml:space="preserve">stricter, never laxer, so no cell can accidentally be more permissive than a cell it dominates.</w:t>
      </w:r>
    </w:p>
    <w:bookmarkEnd w:id="22"/>
    <w:bookmarkStart w:id="23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, 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</w:t>
      </w:r>
    </w:p>
    <w:p>
      <w:pPr>
        <w:pStyle w:val="BodyText"/>
      </w:pPr>
      <w:r>
        <w:t xml:space="preserve">The recorded reason is what lets a reader six months later disagree with the tier that was claimed,</w:t>
      </w:r>
      <w:r>
        <w:t xml:space="preserve"> </w:t>
      </w:r>
      <w:r>
        <w:t xml:space="preserve">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item is independent of blast radius.</w:t>
      </w:r>
    </w:p>
    <w:p>
      <w:pPr>
        <w:pStyle w:val="BodyText"/>
      </w:pPr>
      <w:r>
        <w:rPr>
          <w:b/>
          <w:bCs/>
        </w:rPr>
        <w:t xml:space="preserve">The floor is short on purpose: a floor with twenty items is a tier, 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AI coding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AI coding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AI coding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coding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See instead:</w:t>
      </w:r>
    </w:p>
    <w:p>
      <w:pPr>
        <w:pStyle w:val="Compact"/>
        <w:numPr>
          <w:ilvl w:val="0"/>
          <w:numId w:val="1006"/>
        </w:numPr>
      </w:pPr>
      <w:r>
        <w:t xml:space="preserve">the deny-list-plus-content-scan pairing, in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"A path deny-list is not a content control"</w:t>
        </w:r>
      </w:hyperlink>
    </w:p>
    <w:p>
      <w:pPr>
        <w:pStyle w:val="Compact"/>
        <w:numPr>
          <w:ilvl w:val="0"/>
          <w:numId w:val="1006"/>
        </w:numPr>
      </w:pPr>
      <w:r>
        <w:t xml:space="preserve">everything-is-data, in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"Everything the agent reads is data, never instructions"</w:t>
        </w:r>
      </w:hyperlink>
    </w:p>
    <w:p>
      <w:pPr>
        <w:pStyle w:val="Compact"/>
        <w:numPr>
          <w:ilvl w:val="0"/>
          <w:numId w:val="1006"/>
        </w:numPr>
      </w:pPr>
      <w:r>
        <w:t xml:space="preserve">the explain-it bar, in</w:t>
      </w:r>
      <w:r>
        <w:t xml:space="preserve"> </w:t>
      </w:r>
      <w:hyperlink r:id="rId17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</w:t>
      </w:r>
      <w:r>
        <w:rPr>
          <w:i/>
          <w:iCs/>
        </w:rPr>
        <w:t xml:space="preserve"> </w:t>
      </w:r>
      <w:r>
        <w:rPr>
          <w:i/>
          <w:iCs/>
        </w:rPr>
        <w:t xml:space="preserve">explain -- assistance in reaching the explanation is fine"</w:t>
      </w:r>
    </w:p>
    <w:p>
      <w:pPr>
        <w:pStyle w:val="FirstParagraph"/>
      </w:pPr>
      <w:r>
        <w:t xml:space="preserve">For a working scanner, what it catches, and the class it can never catch, see</w:t>
      </w:r>
      <w:r>
        <w:t xml:space="preserve"> </w:t>
      </w:r>
      <w:hyperlink r:id="rId14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7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assistant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</w:p>
    <w:p>
      <w:pPr>
        <w:pStyle w:val="BodyText"/>
      </w:pPr>
      <w:r>
        <w:rPr>
          <w:b/>
          <w:bCs/>
        </w:rPr>
        <w:t xml:space="preserve">Record whether the exception is defined-and-enabled or defined-but-not-enabled.</w:t>
      </w:r>
      <w:r>
        <w:t xml:space="preserve"> </w:t>
      </w:r>
      <w:r>
        <w:t xml:space="preserve">Those are</w:t>
      </w:r>
      <w:r>
        <w:t xml:space="preserve"> </w:t>
      </w:r>
      <w:r>
        <w:t xml:space="preserve">different postures, and a register that does not distinguish them reads as the permissive one.</w:t>
      </w:r>
    </w:p>
    <w:bookmarkEnd w:id="27"/>
    <w:bookmarkStart w:id="28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assistant, its skills, its installed editor extensions, the third-party tool servers it is</w:t>
      </w:r>
      <w:r>
        <w:t xml:space="preserve"> </w:t>
      </w:r>
      <w:r>
        <w:t xml:space="preserve">connected to, or an agent framework wrapping it. All of those run with the developer's privileges</w:t>
      </w:r>
      <w:r>
        <w:t xml:space="preserve"> </w:t>
      </w:r>
      <w:r>
        <w:t xml:space="preserve">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assistant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tiers; where one is used, vet it, pin it, record it, send it</w:t>
      </w:r>
      <w:r>
        <w:t xml:space="preserve"> </w:t>
      </w:r>
      <w:r>
        <w:t xml:space="preserve">nothing restricted, and treat everything it returns as untrusted data.</w:t>
      </w:r>
    </w:p>
    <w:p>
      <w:pPr>
        <w:pStyle w:val="BodyText"/>
      </w:pPr>
      <w:r>
        <w:rPr>
          <w:b/>
          <w:bCs/>
        </w:rPr>
        <w:t xml:space="preserve">A live search or fetch is outbound egress in its own right.</w:t>
      </w:r>
      <w:r>
        <w:t xml:space="preserve"> </w:t>
      </w:r>
      <w:r>
        <w:t xml:space="preserve">No restricted value, credential or</w:t>
      </w:r>
      <w:r>
        <w:t xml:space="preserve"> </w:t>
      </w:r>
      <w:r>
        <w:t xml:space="preserve">identifying string belongs in a query or a tool argument.</w:t>
      </w:r>
    </w:p>
    <w:bookmarkEnd w:id="28"/>
    <w:bookmarkStart w:id="29" w:name="X1578757e3c2884374fe3747e42c75573fa578b7"/>
    <w:p>
      <w:pPr>
        <w:pStyle w:val="Heading3"/>
      </w:pPr>
      <w:r>
        <w:t xml:space="preserve">A commit scanner is not a live interceptor</w:t>
      </w:r>
    </w:p>
    <w:p>
      <w:pPr>
        <w:pStyle w:val="FirstParagraph"/>
      </w:pPr>
      <w:r>
        <w:rPr>
          <w:b/>
          <w:bCs/>
        </w:rPr>
        <w:t xml:space="preserve">A commit-time content scanner catches a forbidden string that lands in a commit, but 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live interceptor of an outbound query.</w:t>
      </w:r>
      <w:r>
        <w:t xml:space="preserve"> </w:t>
      </w:r>
      <w:r>
        <w:t xml:space="preserve">That asymmetry is the part worth internalising.</w:t>
      </w:r>
    </w:p>
    <w:p>
      <w:pPr>
        <w:pStyle w:val="BodyText"/>
      </w:pPr>
      <w:r>
        <w:t xml:space="preserve">Nothing mechanical stands between the agent and that channel. The discipline there is on the human,</w:t>
      </w:r>
      <w:r>
        <w:t xml:space="preserve"> </w:t>
      </w:r>
      <w:r>
        <w:t xml:space="preserve">and your documentation must say so rather than letting a green scanner imply coverage it does not</w:t>
      </w:r>
      <w:r>
        <w:t xml:space="preserve"> </w:t>
      </w:r>
      <w:r>
        <w:t xml:space="preserve">have.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AI-run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AI-run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AI coding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AI coding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AI-authored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</w:t>
      </w:r>
    </w:p>
    <w:p>
      <w:pPr>
        <w:pStyle w:val="BlockText"/>
      </w:pPr>
      <w:r>
        <w:t xml:space="preserve">Prompt-based optimization for security or maintainability 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 maintainability by prompting alone.</w:t>
      </w:r>
      <w:r>
        <w:t xml:space="preserve"> </w:t>
      </w:r>
      <w:r>
        <w:t xml:space="preserve">An AI-run</w:t>
      </w:r>
      <w:r>
        <w:t xml:space="preserve"> </w:t>
      </w:r>
      <w:r>
        <w:t xml:space="preserve">review is advisory input a human arbitrates, and no change merges on the AI coding assistant's own</w:t>
      </w:r>
      <w:r>
        <w:t xml:space="preserve"> </w:t>
      </w:r>
      <w:r>
        <w:t xml:space="preserve">assurance that it is safe.</w:t>
      </w:r>
    </w:p>
    <w:p>
      <w:pPr>
        <w:pStyle w:val="FirstParagraph"/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  <w:i/>
            <w:iCs/>
          </w:rPr>
          <w:t xml:space="preserve">"A green local run is not a green pipeline"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  <w:i/>
            <w:iCs/>
          </w:rPr>
          <w:t xml:space="preserve">"Scoped-green is not the gate"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  <w:i/>
            <w:iCs/>
          </w:rPr>
          <w:t xml:space="preserve">"A check that cannot fail is not a control"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  <w:i/>
            <w:iCs/>
          </w:rPr>
          <w:t xml:space="preserve">"Ship the guard the same day as the rule"</w:t>
        </w:r>
      </w:hyperlink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35"/>
    <w:bookmarkStart w:id="47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assistant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36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</w:p>
    <w:p>
      <w:pPr>
        <w:pStyle w:val="BodyText"/>
      </w:pPr>
      <w:r>
        <w:t xml:space="preserve">A stale anchor is worse than none, because it is confidently loaded into every session.</w:t>
      </w:r>
    </w:p>
    <w:bookmarkEnd w:id="36"/>
    <w:bookmarkStart w:id="37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37"/>
    <w:bookmarkStart w:id="39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</w:t>
      </w:r>
    </w:p>
    <w:p>
      <w:pPr>
        <w:pStyle w:val="BodyText"/>
      </w:pPr>
      <w:r>
        <w:t xml:space="preserve">The site owns the plan-then-diff rule in</w:t>
      </w:r>
      <w:r>
        <w:t xml:space="preserve"> </w:t>
      </w:r>
      <w:hyperlink r:id="rId3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</w:t>
      </w:r>
      <w:r>
        <w:rPr>
          <w:i/>
          <w:iCs/>
        </w:rPr>
        <w:t xml:space="preserve"> </w:t>
      </w:r>
      <w:r>
        <w:rPr>
          <w:i/>
          <w:iCs/>
        </w:rPr>
        <w:t xml:space="preserve">first, then review the diff against the plan"</w:t>
      </w:r>
      <w:r>
        <w:t xml:space="preserve">.</w:t>
      </w:r>
    </w:p>
    <w:bookmarkEnd w:id="39"/>
    <w:bookmarkStart w:id="41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</w:t>
      </w:r>
    </w:p>
    <w:p>
      <w:pPr>
        <w:pStyle w:val="BodyText"/>
      </w:pPr>
      <w:r>
        <w:t xml:space="preserve">It also lives outside the repository in most setups, which puts it outside every content gate you</w:t>
      </w:r>
      <w:r>
        <w:t xml:space="preserve"> </w:t>
      </w:r>
      <w:r>
        <w:t xml:space="preserve">installed. See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 when several sessions</w:t>
      </w:r>
      <w:r>
        <w:t xml:space="preserve"> </w:t>
      </w:r>
      <w:r>
        <w:t xml:space="preserve">share it.</w:t>
      </w:r>
    </w:p>
    <w:bookmarkEnd w:id="41"/>
    <w:bookmarkStart w:id="42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42"/>
    <w:bookmarkStart w:id="43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43"/>
    <w:bookmarkStart w:id="46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hyperlink r:id="rId44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 </w:t>
      </w:r>
      <w:r>
        <w:t xml:space="preserve">owns two more</w:t>
      </w:r>
      <w:r>
        <w:t xml:space="preserve"> </w:t>
      </w:r>
      <w:r>
        <w:t xml:space="preserve">things: the threshold for taking manual control back, and the reason grinding in a polluted context</w:t>
      </w:r>
      <w:r>
        <w:t xml:space="preserve"> </w:t>
      </w:r>
      <w:r>
        <w:t xml:space="preserve">is the expensive failure rather than a bad suggestion.</w:t>
      </w:r>
    </w:p>
    <w:p>
      <w:pPr>
        <w:pStyle w:val="BodyText"/>
      </w:pP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9" w:name="X74a26f4f90fb3f04978edaba3bdc19e8998557f"/>
    <w:p>
      <w:pPr>
        <w:pStyle w:val="Heading2"/>
      </w:pPr>
      <w:r>
        <w:t xml:space="preserve">6. Provenance, review, and saying what you actually have</w:t>
      </w:r>
    </w:p>
    <w:p>
      <w:pPr>
        <w:pStyle w:val="FirstParagraph"/>
      </w:pPr>
      <w:r>
        <w:t xml:space="preserve">Two obligations run through this section: record what actually happened, and describe it in words</w:t>
      </w:r>
      <w:r>
        <w:t xml:space="preserve"> </w:t>
      </w:r>
      <w:r>
        <w:t xml:space="preserve">that survive a reader who checks.</w:t>
      </w:r>
    </w:p>
    <w:bookmarkStart w:id="49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4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</w:t>
      </w:r>
    </w:p>
    <w:p>
      <w:pPr>
        <w:pStyle w:val="BodyText"/>
      </w:pPr>
      <w:r>
        <w:rPr>
          <w:b/>
          <w:bCs/>
        </w:rPr>
        <w:t xml:space="preserve">The one addition this standard makes: the tier is part of the plan you approve.</w:t>
      </w:r>
      <w:r>
        <w:t xml:space="preserve"> </w:t>
      </w:r>
      <w:r>
        <w:t xml:space="preserve">It is not</w:t>
      </w:r>
      <w:r>
        <w:t xml:space="preserve"> </w:t>
      </w:r>
      <w:r>
        <w:t xml:space="preserve">something derived afterwards to justify the review depth you happened to apply.</w:t>
      </w:r>
    </w:p>
    <w:bookmarkEnd w:id="49"/>
    <w:bookmarkStart w:id="51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assistant implements a control exactly where it was prompted and misses its siblings.</w:t>
      </w:r>
      <w:r>
        <w:t xml:space="preserve"> </w:t>
      </w:r>
      <w:r>
        <w:t xml:space="preserve">Make enumerating them a review step rather than a hope, and prefer one deterministic check over all</w:t>
      </w:r>
      <w:r>
        <w:t xml:space="preserve"> </w:t>
      </w:r>
      <w:r>
        <w:t xml:space="preserve">instances to a recurring manual sweep.</w:t>
      </w:r>
    </w:p>
    <w:p>
      <w:pPr>
        <w:pStyle w:val="BodyText"/>
      </w:pPr>
      <w:r>
        <w:t xml:space="preserve">Full rule and the audit finding behind it:</w:t>
      </w:r>
      <w:r>
        <w:t xml:space="preserve"> </w:t>
      </w:r>
      <w:hyperlink r:id="rId50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51"/>
    <w:bookmarkStart w:id="53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assistant's identity and version is worth doing, and the usual mechanism is a</w:t>
      </w:r>
      <w:r>
        <w:t xml:space="preserve"> </w:t>
      </w:r>
      <w:r>
        <w:t xml:space="preserve">per-commit trailer naming the AI coding assistant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.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</w:t>
      </w:r>
    </w:p>
    <w:p>
      <w:pPr>
        <w:pStyle w:val="BodyText"/>
      </w:pPr>
      <w:r>
        <w:t xml:space="preserve">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</w:t>
      </w:r>
    </w:p>
    <w:p>
      <w:pPr>
        <w:pStyle w:val="BodyText"/>
      </w:pPr>
      <w:r>
        <w:rPr>
          <w:b/>
          <w:bCs/>
        </w:rPr>
        <w:t xml:space="preserve">If the count is zero, record it as designed-and-blocked</w:t>
      </w:r>
      <w:r>
        <w:t xml:space="preserve">, name the structural blocker, and add a</w:t>
      </w:r>
      <w:r>
        <w:t xml:space="preserve"> </w:t>
      </w:r>
      <w:r>
        <w:t xml:space="preserve">drift test that fails if the claim is reinstated while the practice contradicts it.</w:t>
      </w:r>
    </w:p>
    <w:p>
      <w:pPr>
        <w:pStyle w:val="BodyText"/>
      </w:pPr>
      <w:r>
        <w:t xml:space="preserve">Before enforcing any trailer, check its form against the merge gates that will see it. Then enforce</w:t>
      </w:r>
      <w:r>
        <w:t xml:space="preserve"> </w:t>
      </w:r>
      <w:r>
        <w:t xml:space="preserve">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 pipeline backstop, so a local bypass does not</w:t>
      </w:r>
      <w:r>
        <w:t xml:space="preserve"> </w:t>
      </w:r>
      <w:r>
        <w:t xml:space="preserve">defeat it.</w:t>
      </w:r>
    </w:p>
    <w:p>
      <w:pPr>
        <w:pStyle w:val="BodyText"/>
      </w:pPr>
      <w:r>
        <w:t xml:space="preserve">The general form of this is on the site already --</w:t>
      </w:r>
      <w:r>
        <w:t xml:space="preserve"> </w:t>
      </w:r>
      <w:hyperlink r:id="rId52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 evidence"</w:t>
      </w:r>
      <w:r>
        <w:t xml:space="preserve">. The two deltas above are the</w:t>
      </w:r>
      <w:r>
        <w:t xml:space="preserve"> </w:t>
      </w:r>
      <w:r>
        <w:t xml:space="preserve">parts specific to a provenance trailer.</w:t>
      </w:r>
    </w:p>
    <w:p>
      <w:pPr>
        <w:pStyle w:val="BodyText"/>
      </w:pPr>
      <w:r>
        <w:rPr>
          <w:b/>
          <w:bCs/>
        </w:rPr>
        <w:t xml:space="preserve">Be equally precise about granularity.</w:t>
      </w:r>
      <w:r>
        <w:t xml:space="preserve"> </w:t>
      </w:r>
      <w:r>
        <w:t xml:space="preserve">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granularity; it does not mark which lines or hunks were AI-authored. If a downstream process wants</w:t>
      </w:r>
      <w:r>
        <w:t xml:space="preserve"> </w:t>
      </w:r>
      <w:r>
        <w:t xml:space="preserve">the line-level distinction, that is a separate, unbuilt thing, and saying so costs nothing.</w:t>
      </w:r>
    </w:p>
    <w:bookmarkEnd w:id="53"/>
    <w:bookmarkStart w:id="54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rPr>
          <w:b/>
          <w:bCs/>
        </w:rPr>
        <w:t xml:space="preserve">The obligation that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 alone is concrete:</w:t>
      </w:r>
    </w:p>
    <w:p>
      <w:pPr>
        <w:pStyle w:val="Compact"/>
        <w:numPr>
          <w:ilvl w:val="0"/>
          <w:numId w:val="1011"/>
        </w:numPr>
      </w:pPr>
      <w:r>
        <w:t xml:space="preserve">the full gate green</w:t>
      </w:r>
    </w:p>
    <w:p>
      <w:pPr>
        <w:pStyle w:val="Compact"/>
        <w:numPr>
          <w:ilvl w:val="0"/>
          <w:numId w:val="1011"/>
        </w:numPr>
      </w:pPr>
      <w:r>
        <w:t xml:space="preserve">the reviews run and triaged</w:t>
      </w:r>
    </w:p>
    <w:p>
      <w:pPr>
        <w:pStyle w:val="Compact"/>
        <w:numPr>
          <w:ilvl w:val="0"/>
          <w:numId w:val="1011"/>
        </w:numPr>
      </w:pPr>
      <w:r>
        <w:t xml:space="preserve">every change explained-or-discarded, where you engage with and stand behind the explanation</w:t>
      </w:r>
      <w:r>
        <w:t xml:space="preserve"> </w:t>
      </w:r>
      <w:r>
        <w:t xml:space="preserve">rather than rubber-stamping it</w:t>
      </w:r>
    </w:p>
    <w:p>
      <w:pPr>
        <w:pStyle w:val="FirstParagraph"/>
      </w:pPr>
      <w:r>
        <w:t xml:space="preserve">The obligation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achievable alone is independent review. It stays in the register as a</w:t>
      </w:r>
      <w:r>
        <w:t xml:space="preserve"> </w:t>
      </w:r>
      <w:r>
        <w:t xml:space="preserve">deviation until it is met.</w:t>
      </w:r>
    </w:p>
    <w:p>
      <w:pPr>
        <w:pStyle w:val="BodyText"/>
      </w:pPr>
      <w:r>
        <w:rPr>
          <w:b/>
          <w:bCs/>
        </w:rPr>
        <w:t xml:space="preserve">Build the adversarial check on whether the tests assert anything first.</w:t>
      </w:r>
      <w:r>
        <w:t xml:space="preserve"> </w:t>
      </w:r>
      <w:r>
        <w:t xml:space="preserve">Given that posture it is</w:t>
      </w:r>
      <w:r>
        <w:t xml:space="preserve"> </w:t>
      </w:r>
      <w:r>
        <w:t xml:space="preserve">the single highest-leverage control, because it is the only one independent of the author's own</w:t>
      </w:r>
      <w:r>
        <w:t xml:space="preserve"> </w:t>
      </w:r>
      <w:r>
        <w:t xml:space="preserve">confidence. The fifth failure mode says confidence is exactly what is unreliable in the self-review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</w:t>
      </w:r>
    </w:p>
    <w:p>
      <w:pPr>
        <w:pStyle w:val="BodyText"/>
      </w:pPr>
      <w:r>
        <w:t xml:space="preserve">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 organization</w:t>
      </w:r>
      <w:r>
        <w:t xml:space="preserve"> </w:t>
      </w:r>
      <w:r>
        <w:t xml:space="preserve">owns the decision to deploy.</w:t>
      </w:r>
    </w:p>
    <w:bookmarkEnd w:id="54"/>
    <w:bookmarkStart w:id="55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</w:p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An unsigned register is an un-accepted open gap</w:t>
      </w:r>
      <w:r>
        <w:t xml:space="preserve"> </w:t>
      </w:r>
      <w:r>
        <w:t xml:space="preserve">wearing the costume of a decision, and a release gate that leans on one is not a gate.</w:t>
      </w:r>
    </w:p>
    <w:p>
      <w:pPr>
        <w:pStyle w:val="BodyText"/>
      </w:pPr>
      <w:r>
        <w:rPr>
          <w:b/>
          <w:bCs/>
        </w:rPr>
        <w:t xml:space="preserve">Do not publish the register's contents as a public inventory of which controls are currently</w:t>
      </w:r>
      <w:r>
        <w:rPr>
          <w:b/>
          <w:bCs/>
        </w:rP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if the software is security-relevant. Keep the meta-rule public and the instance internal.</w:t>
      </w:r>
    </w:p>
    <w:bookmarkEnd w:id="55"/>
    <w:bookmarkStart w:id="57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"AI-run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</w:t>
      </w:r>
    </w:p>
    <w:p>
      <w:pPr>
        <w:pStyle w:val="BodyText"/>
      </w:pPr>
      <w:r>
        <w:t xml:space="preserve">Three things are owned by</w:t>
      </w:r>
      <w:r>
        <w:t xml:space="preserve"> </w:t>
      </w:r>
      <w:hyperlink r:id="rId5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</w:t>
      </w:r>
      <w:r>
        <w:rPr>
          <w:i/>
          <w:iCs/>
        </w:rPr>
        <w:t xml:space="preserve"> </w:t>
      </w:r>
      <w:r>
        <w:rPr>
          <w:i/>
          <w:iCs/>
        </w:rPr>
        <w:t xml:space="preserve">are making"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register mechanics</w:t>
      </w:r>
    </w:p>
    <w:p>
      <w:pPr>
        <w:pStyle w:val="Compact"/>
        <w:numPr>
          <w:ilvl w:val="0"/>
          <w:numId w:val="1012"/>
        </w:numPr>
      </w:pPr>
      <w:r>
        <w:t xml:space="preserve">the honesty taxonomy behind it</w:t>
      </w:r>
    </w:p>
    <w:p>
      <w:pPr>
        <w:pStyle w:val="Compact"/>
        <w:numPr>
          <w:ilvl w:val="0"/>
          <w:numId w:val="1012"/>
        </w:numPr>
      </w:pPr>
      <w:r>
        <w:t xml:space="preserve">the aligned / built-to / self-assessed vocabulary</w:t>
      </w:r>
    </w:p>
    <w:p>
      <w:pPr>
        <w:pStyle w:val="FirstParagraph"/>
      </w:pPr>
      <w:r>
        <w:t xml:space="preserve">Read that before publishing anything from this document.</w:t>
      </w:r>
    </w:p>
    <w:bookmarkEnd w:id="57"/>
    <w:bookmarkStart w:id="58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assistant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</w:p>
    <w:p>
      <w:pPr>
        <w:pStyle w:val="BodyText"/>
      </w:pP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. Name the regime you are not subject to, and state that producing the artifacts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4" w:name="Xcf55bd8b8e6be00202ba70d56a4beb5cb22b37f"/>
    <w:p>
      <w:pPr>
        <w:pStyle w:val="Heading2"/>
      </w:pPr>
      <w:r>
        <w:t xml:space="preserve">7. The adversarial verification pass</w:t>
      </w:r>
    </w:p>
    <w:p>
      <w:pPr>
        <w:pStyle w:val="FirstParagraph"/>
      </w:pPr>
      <w:r>
        <w:t xml:space="preserve">An adversarial pass is a separate check on work already produced, run so that the checker is not the</w:t>
      </w:r>
      <w:r>
        <w:t xml:space="preserve"> </w:t>
      </w:r>
      <w:r>
        <w:t xml:space="preserve">thing being checked. This section covers how to keep it independent, and when it is worth its cost.</w:t>
      </w:r>
    </w:p>
    <w:bookmarkStart w:id="63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defect. The context that produced the answer is the context judging it, and it is biased</w:t>
      </w:r>
      <w:r>
        <w:t xml:space="preserve"> </w:t>
      </w:r>
      <w:r>
        <w:t xml:space="preserve">toward what it already decided was fine.</w:t>
      </w:r>
    </w:p>
    <w:p>
      <w:pPr>
        <w:pStyle w:val="BodyText"/>
      </w:pPr>
      <w:r>
        <w:t xml:space="preserve">More reasoning effort in the same context does not fix this, because the bias is not a shortage of</w:t>
      </w:r>
      <w:r>
        <w:t xml:space="preserve"> </w:t>
      </w:r>
      <w:r>
        <w:t xml:space="preserve">effort. The fix has two parts, and both are necessary: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hyperlink r:id="rId60">
        <w:r>
          <w:rPr>
            <w:rStyle w:val="Hyperlink"/>
            <w:i/>
            <w:iCs/>
          </w:rPr>
          <w:t xml:space="preserve">"The review pass"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"Make the reviewer execute the citation, not read it"</w:t>
        </w:r>
      </w:hyperlink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63"/>
    <w:bookmarkStart w:id="64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64"/>
    <w:bookmarkStart w:id="65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5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5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5"/>
        </w:numPr>
      </w:pPr>
      <w:r>
        <w:t xml:space="preserve">a synthesis pass</w:t>
      </w:r>
    </w:p>
    <w:p>
      <w:pPr>
        <w:pStyle w:val="Compact"/>
        <w:numPr>
          <w:ilvl w:val="0"/>
          <w:numId w:val="1015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flaws.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and every fatal flaw was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65"/>
    <w:bookmarkStart w:id="66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objection: carry it</w:t>
      </w:r>
      <w:r>
        <w:t xml:space="preserve"> </w:t>
      </w:r>
      <w:r>
        <w:t xml:space="preserve">forward and resolve it by name.</w:t>
      </w:r>
    </w:p>
    <w:p>
      <w:pPr>
        <w:pStyle w:val="BodyText"/>
      </w:pPr>
      <w:r>
        <w:t xml:space="preserve">Where a residual risk cannot be closed, document it honestly -- for instance as no worse than the</w:t>
      </w:r>
      <w:r>
        <w:t xml:space="preserve"> </w:t>
      </w:r>
      <w:r>
        <w:t xml:space="preserve">behavior that already ships -- and make it visible rather than claiming it closed. A residual risk</w:t>
      </w:r>
      <w:r>
        <w:t xml:space="preserve"> </w:t>
      </w:r>
      <w:r>
        <w:t xml:space="preserve">that is named survives review; one that is quietly absorbed resurfaces as an incident.</w:t>
      </w:r>
    </w:p>
    <w:bookmarkEnd w:id="66"/>
    <w:bookmarkStart w:id="67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</w:t>
      </w:r>
    </w:p>
    <w:p>
      <w:pPr>
        <w:pStyle w:val="BodyText"/>
      </w:pPr>
      <w:r>
        <w:t xml:space="preserve">The residual risk after confirmation is usually not a wrong finding. It is a control implemented</w:t>
      </w:r>
      <w:r>
        <w:t xml:space="preserve"> </w:t>
      </w:r>
      <w:r>
        <w:t xml:space="preserve">exactly where it was prompted and missing at its siblings, which is why control parity is a review</w:t>
      </w:r>
      <w:r>
        <w:t xml:space="preserve"> </w:t>
      </w:r>
      <w:r>
        <w:t xml:space="preserve">gate and not an afterthought.</w:t>
      </w:r>
    </w:p>
    <w:bookmarkEnd w:id="67"/>
    <w:bookmarkStart w:id="68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rPr>
          <w:b/>
          <w:bCs/>
        </w:rPr>
        <w:t xml:space="preserve">It fails on small work for a structural reason, not an economic one.</w:t>
      </w:r>
      <w:r>
        <w:t xml:space="preserve"> </w:t>
      </w:r>
      <w:r>
        <w:t xml:space="preserve">Fan-out earns its value from</w:t>
      </w:r>
      <w:r>
        <w:t xml:space="preserve"> </w:t>
      </w:r>
      <w:r>
        <w:t xml:space="preserve">coverage across a large surface, and a single-file task has no surface to fan out across. The pass</w:t>
      </w:r>
      <w:r>
        <w:t xml:space="preserve"> </w:t>
      </w:r>
      <w:r>
        <w:t xml:space="preserve">adds latency and burn without improving the result.</w:t>
      </w:r>
    </w:p>
    <w:p>
      <w:pPr>
        <w:pStyle w:val="BodyText"/>
      </w:pPr>
      <w:r>
        <w:t xml:space="preserve">The corollary is that a targeted, scoped review of a finished change is usually a better instrument</w:t>
      </w:r>
      <w:r>
        <w:t xml:space="preserve"> </w:t>
      </w:r>
      <w:r>
        <w:t xml:space="preserve">than leaving a session-wide maximum-effort setting on.</w:t>
      </w:r>
    </w:p>
    <w:bookmarkEnd w:id="68"/>
    <w:bookmarkStart w:id="70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69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70"/>
    <w:bookmarkStart w:id="73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should live in a written script or file that the</w:t>
      </w:r>
      <w:r>
        <w:t xml:space="preserve"> </w:t>
      </w:r>
      <w:r>
        <w:t xml:space="preserve">run follows, not in the conversation that produced it. The plan here means the dependency graph, the</w:t>
      </w:r>
      <w:r>
        <w:t xml:space="preserve"> </w:t>
      </w:r>
      <w:r>
        <w:t xml:space="preserve">loops, the fan-out.</w:t>
      </w:r>
    </w:p>
    <w:p>
      <w:pPr>
        <w:pStyle w:val="BodyText"/>
      </w:pPr>
      <w:r>
        <w:t xml:space="preserve">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Coordination</w:t>
        </w:r>
      </w:hyperlink>
      <w:r>
        <w:t xml:space="preserve">. The identifier-collision class that every other control is blind</w:t>
      </w:r>
      <w:r>
        <w:t xml:space="preserve"> </w:t>
      </w:r>
      <w:r>
        <w:t xml:space="preserve">to is owned by</w:t>
      </w:r>
      <w:r>
        <w:t xml:space="preserve"> </w:t>
      </w:r>
      <w:hyperlink r:id="rId72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AI coding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AI-run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analyzers,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76"/>
    <w:bookmarkStart w:id="77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9"/>
        </w:numPr>
      </w:pPr>
      <w:hyperlink r:id="rId1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9"/>
        </w:numPr>
      </w:pPr>
      <w:hyperlink r:id="rId1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9"/>
        </w:numPr>
      </w:pPr>
      <w:hyperlink r:id="rId45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9"/>
        </w:numPr>
      </w:pPr>
      <w:hyperlink r:id="rId40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9"/>
        </w:numPr>
      </w:pPr>
      <w:hyperlink r:id="rId69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0" Target="https://claude-multisession.pages.dev/COORDINATION.html" TargetMode="External" /><Relationship Type="http://schemas.openxmlformats.org/officeDocument/2006/relationships/hyperlink" Id="rId14" Target="https://claude-multisession.pages.dev/LEAK-GATE.html" TargetMode="External" /><Relationship Type="http://schemas.openxmlformats.org/officeDocument/2006/relationships/hyperlink" Id="rId72" Target="https://claude-multisession.pages.dev/SEQUENCE-ALLOC.html" TargetMode="External" /><Relationship Type="http://schemas.openxmlformats.org/officeDocument/2006/relationships/hyperlink" Id="rId45" Target="https://claude-multisession.pages.dev/TIPS-AND-TRICKS.html" TargetMode="External" /><Relationship Type="http://schemas.openxmlformats.org/officeDocument/2006/relationships/hyperlink" Id="rId69" Target="https://claude-multisession.pages.dev/USAGE-AWARENESS.html" TargetMode="External" /><Relationship Type="http://schemas.openxmlformats.org/officeDocument/2006/relationships/hyperlink" Id="rId71" Target="https://claude-multisession.pages.dev/WORKTREES.html" TargetMode="External" /><Relationship Type="http://schemas.openxmlformats.org/officeDocument/2006/relationships/hyperlink" Id="rId9" Target="https://secure-development-standards.pages.dev/standards/AI-ASSISTED-DEVELOPMENT.md" TargetMode="External" /><Relationship Type="http://schemas.openxmlformats.org/officeDocument/2006/relationships/hyperlink" Id="rId10" Target="https://secure-development-standards.pages.dev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ASVS-ASSESSMENT.md" TargetMode="External" /><Relationship Type="http://schemas.openxmlformats.org/officeDocument/2006/relationships/hyperlink" Id="rId61" Target="../ASVS-ASSESSMENT.md#make-the-reviewer-execute-the-citation-not-read-it" TargetMode="External" /><Relationship Type="http://schemas.openxmlformats.org/officeDocument/2006/relationships/hyperlink" Id="rId60" Target="../ASVS-ASSESSMENT.md#the-review-pass" TargetMode="External" /><Relationship Type="http://schemas.openxmlformats.org/officeDocument/2006/relationships/hyperlink" Id="rId17" Target="../CI-AND-STANDARDS.md" TargetMode="External" /><Relationship Type="http://schemas.openxmlformats.org/officeDocument/2006/relationships/hyperlink" Id="rId33" Target="../CI-AND-STANDARDS.md#a-check-that-cannot-fail-is-not-a-control" TargetMode="External" /><Relationship Type="http://schemas.openxmlformats.org/officeDocument/2006/relationships/hyperlink" Id="rId31" Target="../CI-AND-STANDARDS.md#a-green-local-run-is-not-a-green-pipeline" TargetMode="External" /><Relationship Type="http://schemas.openxmlformats.org/officeDocument/2006/relationships/hyperlink" Id="rId25" Target="../CI-AND-STANDARDS.md#a-path-deny-list-is-not-a-content-control" TargetMode="External" /><Relationship Type="http://schemas.openxmlformats.org/officeDocument/2006/relationships/hyperlink" Id="rId38" Target="../CI-AND-STANDARDS.md#approve-a-plan-first-then-review-the-diff-against-the-plan" TargetMode="External" /><Relationship Type="http://schemas.openxmlformats.org/officeDocument/2006/relationships/hyperlink" Id="rId16" Target="../CI-AND-STANDARDS.md#do-not-claim-a-speed-or-quality-gain-you-have-not-measured-here" TargetMode="External" /><Relationship Type="http://schemas.openxmlformats.org/officeDocument/2006/relationships/hyperlink" Id="rId50" Target="../CI-AND-STANDARDS.md#enumerate-sibling-paths-for-every-control" TargetMode="External" /><Relationship Type="http://schemas.openxmlformats.org/officeDocument/2006/relationships/hyperlink" Id="rId26" Target="../CI-AND-STANDARDS.md#everything-the-agent-reads-is-data-never-instructions" TargetMode="External" /><Relationship Type="http://schemas.openxmlformats.org/officeDocument/2006/relationships/hyperlink" Id="rId44" Target="../CI-AND-STANDARDS.md#know-when-to-take-manual-control-back" TargetMode="External" /><Relationship Type="http://schemas.openxmlformats.org/officeDocument/2006/relationships/hyperlink" Id="rId52" Target="../CI-AND-STANDARDS.md#measure-the-adoption-of-a-convention-before-citing-it-as-evidence" TargetMode="External" /><Relationship Type="http://schemas.openxmlformats.org/officeDocument/2006/relationships/hyperlink" Id="rId56" Target="../CI-AND-STANDARDS.md#say-which-kind-of-claim-you-are-making" TargetMode="External" /><Relationship Type="http://schemas.openxmlformats.org/officeDocument/2006/relationships/hyperlink" Id="rId32" Target="../CI-AND-STANDARDS.md#scoped-green-is-not-the-gate" TargetMode="External" /><Relationship Type="http://schemas.openxmlformats.org/officeDocument/2006/relationships/hyperlink" Id="rId34" Target="../CI-AND-STANDARDS.md#ship-the-guard-the-same-day-as-the-rule" TargetMode="External" /><Relationship Type="http://schemas.openxmlformats.org/officeDocument/2006/relationships/hyperlink" Id="rId48" Target="../CI-AND-STANDARDS.md#what-the-agent-decides-and-what-you-decid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0" Target="https://claude-multisession.pages.dev/COORDINATION.html" TargetMode="External" /><Relationship Type="http://schemas.openxmlformats.org/officeDocument/2006/relationships/hyperlink" Id="rId14" Target="https://claude-multisession.pages.dev/LEAK-GATE.html" TargetMode="External" /><Relationship Type="http://schemas.openxmlformats.org/officeDocument/2006/relationships/hyperlink" Id="rId72" Target="https://claude-multisession.pages.dev/SEQUENCE-ALLOC.html" TargetMode="External" /><Relationship Type="http://schemas.openxmlformats.org/officeDocument/2006/relationships/hyperlink" Id="rId45" Target="https://claude-multisession.pages.dev/TIPS-AND-TRICKS.html" TargetMode="External" /><Relationship Type="http://schemas.openxmlformats.org/officeDocument/2006/relationships/hyperlink" Id="rId69" Target="https://claude-multisession.pages.dev/USAGE-AWARENESS.html" TargetMode="External" /><Relationship Type="http://schemas.openxmlformats.org/officeDocument/2006/relationships/hyperlink" Id="rId71" Target="https://claude-multisession.pages.dev/WORKTREES.html" TargetMode="External" /><Relationship Type="http://schemas.openxmlformats.org/officeDocument/2006/relationships/hyperlink" Id="rId9" Target="https://secure-development-standards.pages.dev/standards/AI-ASSISTED-DEVELOPMENT.md" TargetMode="External" /><Relationship Type="http://schemas.openxmlformats.org/officeDocument/2006/relationships/hyperlink" Id="rId10" Target="https://secure-development-standards.pages.dev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2026-08-11T00:29:05Z</dcterms:created>
  <dcterms:modified xsi:type="dcterms:W3CDTF">2026-08-11T00:29:05Z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