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A starting point for your own secure development standard, not a standard to</w:t>
      </w:r>
      <w:r>
        <w:t xml:space="preserve"> </w:t>
      </w:r>
      <w:r>
        <w:t xml:space="preserve">comply with and not a compliance attestation. Copy it, cut what your project does not have, and</w:t>
      </w:r>
      <w:r>
        <w:t xml:space="preserve"> </w:t>
      </w:r>
      <w:r>
        <w:t xml:space="preserve">publish the result under your own name.</w:t>
      </w:r>
    </w:p>
    <w:p>
      <w:pPr>
        <w:pStyle w:val="BodyText"/>
      </w:pPr>
      <w:r>
        <w:rPr>
          <w:b/>
          <w:bCs/>
        </w:rPr>
        <w:t xml:space="preserve">Why it matters.</w:t>
      </w:r>
      <w:r>
        <w:t xml:space="preserve"> </w:t>
      </w:r>
      <w:r>
        <w:t xml:space="preserve">No green pipeline is a verdict. What this demands instead is checks that block</w:t>
      </w:r>
      <w:r>
        <w:t xml:space="preserve"> </w:t>
      </w:r>
      <w:r>
        <w:t xml:space="preserve">every change and no author can waive, a written threat model per trust boundary before the code, and</w:t>
      </w:r>
      <w:r>
        <w:t xml:space="preserve"> </w:t>
      </w:r>
      <w:r>
        <w:t xml:space="preserve">every unmet requirement dated, signed and carrying the event that ends it.</w:t>
      </w:r>
    </w:p>
    <w:p>
      <w:pPr>
        <w:pStyle w:val="BodyText"/>
      </w:pPr>
      <w:r>
        <w:rPr>
          <w:b/>
          <w:bCs/>
        </w:rPr>
        <w:t xml:space="preserve">What it costs you.</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BodyText"/>
      </w:pPr>
      <w:r>
        <w:rPr>
          <w:b/>
          <w:bCs/>
        </w:rPr>
        <w:t xml:space="preserve">Not for you</w:t>
      </w:r>
      <w:r>
        <w:t xml:space="preserve"> </w:t>
      </w:r>
      <w:r>
        <w:t xml:space="preserve">on throwaway work, or on anything you operate rather than produce. Building to this</w:t>
      </w:r>
      <w:r>
        <w:t xml:space="preserve"> </w:t>
      </w:r>
      <w:r>
        <w:t xml:space="preserve">confers nothing on you or on an adopter.</w:t>
      </w:r>
    </w:p>
    <w:p>
      <w:pPr>
        <w:pStyle w:val="BodyText"/>
      </w:pPr>
      <w:r>
        <w:rPr>
          <w:b/>
          <w:bCs/>
        </w:rPr>
        <w:t xml:space="preserve">Where to start.</w:t>
      </w:r>
      <w:r>
        <w:t xml:space="preserve"> </w:t>
      </w:r>
      <w:hyperlink w:anchor="Xf8794b0126bc78285fb10778097a0695650e57d">
        <w:r>
          <w:rPr>
            <w:rStyle w:val="Hyperlink"/>
          </w:rPr>
          <w:t xml:space="preserve">Section 1</w:t>
        </w:r>
      </w:hyperlink>
      <w:r>
        <w:t xml:space="preserve">, the ownership</w:t>
      </w:r>
      <w:r>
        <w:t xml:space="preserve"> </w:t>
      </w:r>
      <w:r>
        <w:t xml:space="preserve">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w:t>
      </w:r>
    </w:p>
    <w:p>
      <w:pPr>
        <w:pStyle w:val="Compact"/>
        <w:numPr>
          <w:ilvl w:val="0"/>
          <w:numId w:val="1001"/>
        </w:numPr>
      </w:pPr>
      <w:r>
        <w:t xml:space="preserve">credentials and key material</w:t>
      </w:r>
    </w:p>
    <w:p>
      <w:pPr>
        <w:pStyle w:val="Compact"/>
        <w:numPr>
          <w:ilvl w:val="0"/>
          <w:numId w:val="1001"/>
        </w:numPr>
      </w:pPr>
      <w:r>
        <w:t xml:space="preserve">data restricted under a regime the adopting organization operates under</w:t>
      </w:r>
    </w:p>
    <w:p>
      <w:pPr>
        <w:pStyle w:val="Compact"/>
        <w:numPr>
          <w:ilvl w:val="0"/>
          <w:numId w:val="1001"/>
        </w:numPr>
      </w:pPr>
      <w:r>
        <w:t xml:space="preserve">operational telemetry identifying a person or a site</w:t>
      </w:r>
    </w:p>
    <w:p>
      <w:pPr>
        <w:pStyle w:val="Compact"/>
        <w:numPr>
          <w:ilvl w:val="0"/>
          <w:numId w:val="1001"/>
        </w:numPr>
      </w:pPr>
      <w:r>
        <w:t xml:space="preserve">the published artifact</w:t>
      </w:r>
    </w:p>
    <w:p>
      <w:pPr>
        <w:pStyle w:val="FirstParagraph"/>
      </w:pPr>
      <w:r>
        <w:t xml:space="preserve">The artifact belongs in the table precisely because it is public by construction. Writing that down</w:t>
      </w:r>
      <w:r>
        <w:t xml:space="preserve"> </w:t>
      </w:r>
      <w:r>
        <w:t xml:space="preserve">is what stops it being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w:t>
      </w:r>
    </w:p>
    <w:p>
      <w:pPr>
        <w:pStyle w:val="Compact"/>
        <w:numPr>
          <w:ilvl w:val="0"/>
          <w:numId w:val="1003"/>
        </w:numPr>
      </w:pPr>
      <w:r>
        <w:t xml:space="preserve">blocking static analysis and dependency audit that cannot be waived</w:t>
      </w:r>
    </w:p>
    <w:p>
      <w:pPr>
        <w:pStyle w:val="Compact"/>
        <w:numPr>
          <w:ilvl w:val="0"/>
          <w:numId w:val="1003"/>
        </w:numPr>
      </w:pPr>
      <w:r>
        <w:t xml:space="preserve">AI-run review a human arbitrates</w:t>
      </w:r>
    </w:p>
    <w:p>
      <w:pPr>
        <w:pStyle w:val="Compact"/>
        <w:numPr>
          <w:ilvl w:val="0"/>
          <w:numId w:val="1003"/>
        </w:numPr>
      </w:pPr>
      <w:r>
        <w:t xml:space="preserve">branch protection with required checks</w:t>
      </w:r>
    </w:p>
    <w:p>
      <w:pPr>
        <w:pStyle w:val="Compact"/>
        <w:numPr>
          <w:ilvl w:val="0"/>
          <w:numId w:val="1003"/>
        </w:numPr>
      </w:pPr>
      <w:r>
        <w:t xml:space="preserve">no direct pushes to the trunk</w:t>
      </w:r>
    </w:p>
    <w:p>
      <w:pPr>
        <w:pStyle w:val="FirstParagraph"/>
      </w:pPr>
      <w:r>
        <w:t xml:space="preserve">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8e84579fd545af19ab8cb79c93491972da372eb"/>
    <w:p>
      <w:pPr>
        <w:pStyle w:val="Heading3"/>
      </w:pPr>
      <w:r>
        <w:t xml:space="preserve">Three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4"/>
        </w:numPr>
      </w:pPr>
      <w:r>
        <w:rPr>
          <w:b/>
          <w:bCs/>
        </w:rPr>
        <w:t xml:space="preserve">Mutual TLS</w:t>
      </w:r>
      <w:r>
        <w:t xml:space="preserve"> </w:t>
      </w:r>
      <w:r>
        <w:t xml:space="preserve">with full chain validation, revocation checking, and rotation before expiry.</w:t>
      </w:r>
    </w:p>
    <w:p>
      <w:pPr>
        <w:pStyle w:val="Compact"/>
        <w:numPr>
          <w:ilvl w:val="0"/>
          <w:numId w:val="1004"/>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4"/>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six things typically live in one account at one provider:</w:t>
      </w:r>
    </w:p>
    <w:p>
      <w:pPr>
        <w:pStyle w:val="Compact"/>
        <w:numPr>
          <w:ilvl w:val="0"/>
          <w:numId w:val="1005"/>
        </w:numPr>
      </w:pPr>
      <w:r>
        <w:t xml:space="preserve">the archive</w:t>
      </w:r>
    </w:p>
    <w:p>
      <w:pPr>
        <w:pStyle w:val="Compact"/>
        <w:numPr>
          <w:ilvl w:val="0"/>
          <w:numId w:val="1005"/>
        </w:numPr>
      </w:pPr>
      <w:r>
        <w:t xml:space="preserve">the build inputs</w:t>
      </w:r>
    </w:p>
    <w:p>
      <w:pPr>
        <w:pStyle w:val="Compact"/>
        <w:numPr>
          <w:ilvl w:val="0"/>
          <w:numId w:val="1005"/>
        </w:numPr>
      </w:pPr>
      <w:r>
        <w:t xml:space="preserve">the inventories</w:t>
      </w:r>
    </w:p>
    <w:p>
      <w:pPr>
        <w:pStyle w:val="Compact"/>
        <w:numPr>
          <w:ilvl w:val="0"/>
          <w:numId w:val="1005"/>
        </w:numPr>
      </w:pPr>
      <w:r>
        <w:t xml:space="preserve">the attestations</w:t>
      </w:r>
    </w:p>
    <w:p>
      <w:pPr>
        <w:pStyle w:val="Compact"/>
        <w:numPr>
          <w:ilvl w:val="0"/>
          <w:numId w:val="1005"/>
        </w:numPr>
      </w:pPr>
      <w:r>
        <w:t xml:space="preserve">the publishing identity configuration</w:t>
      </w:r>
    </w:p>
    <w:p>
      <w:pPr>
        <w:pStyle w:val="Compact"/>
        <w:numPr>
          <w:ilvl w:val="0"/>
          <w:numId w:val="1005"/>
        </w:numPr>
      </w:pPr>
      <w:r>
        <w:t xml:space="preserve">the deviations register</w:t>
      </w:r>
    </w:p>
    <w:p>
      <w:pPr>
        <w:pStyle w:val="FirstParagraph"/>
      </w:pPr>
      <w:r>
        <w:t xml:space="preserve">An account suspension takes all of it in a single event. Every claim in</w:t>
      </w:r>
      <w:r>
        <w:t xml:space="preserve"> </w:t>
      </w:r>
      <w:hyperlink w:anchor="Xd93b41aba76cd6464a6e694c5ed1cd30484ae10">
        <w:r>
          <w:rPr>
            <w:rStyle w:val="Hyperlink"/>
          </w:rPr>
          <w:t xml:space="preserve">section 17</w:t>
        </w:r>
      </w:hyperlink>
      <w:r>
        <w:t xml:space="preserve"> </w:t>
      </w:r>
      <w:r>
        <w:t xml:space="preserve">becomes unevidenced at once, and a copy nobody has restored</w:t>
      </w:r>
      <w:r>
        <w:t xml:space="preserve"> </w:t>
      </w:r>
      <w:r>
        <w:t xml:space="preserve">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w:t>
      </w:r>
    </w:p>
    <w:p>
      <w:pPr>
        <w:pStyle w:val="Compact"/>
        <w:numPr>
          <w:ilvl w:val="0"/>
          <w:numId w:val="1006"/>
        </w:numPr>
      </w:pPr>
      <w:r>
        <w:t xml:space="preserve">there is no confidentiality to preserve</w:t>
      </w:r>
    </w:p>
    <w:p>
      <w:pPr>
        <w:pStyle w:val="Compact"/>
        <w:numPr>
          <w:ilvl w:val="0"/>
          <w:numId w:val="1006"/>
        </w:numPr>
      </w:pPr>
      <w:r>
        <w:t xml:space="preserve">the tamper resistance gained is marginal</w:t>
      </w:r>
    </w:p>
    <w:p>
      <w:pPr>
        <w:pStyle w:val="Compact"/>
        <w:numPr>
          <w:ilvl w:val="0"/>
          <w:numId w:val="1006"/>
        </w:numPr>
      </w:pPr>
      <w:r>
        <w:t xml:space="preserve">where a copyleft license requires corresponding source, it creates friction with that obligation</w:t>
      </w:r>
    </w:p>
    <w:p>
      <w:pPr>
        <w:pStyle w:val="FirstParagraph"/>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7"/>
        </w:numPr>
      </w:pPr>
      <w:r>
        <w:t xml:space="preserve">file-integrity monitoring against a baseline</w:t>
      </w:r>
    </w:p>
    <w:p>
      <w:pPr>
        <w:pStyle w:val="Compact"/>
        <w:numPr>
          <w:ilvl w:val="0"/>
          <w:numId w:val="1007"/>
        </w:numPr>
      </w:pPr>
      <w:r>
        <w:t xml:space="preserve">immutable or read-only deployment with writable state confined to the data store</w:t>
      </w:r>
    </w:p>
    <w:p>
      <w:pPr>
        <w:pStyle w:val="Compact"/>
        <w:numPr>
          <w:ilvl w:val="0"/>
          <w:numId w:val="1007"/>
        </w:numPr>
      </w:pPr>
      <w:r>
        <w:t xml:space="preserve">least-privilege file ownership so the running account cannot rewrite its own code</w:t>
      </w:r>
    </w:p>
    <w:p>
      <w:pPr>
        <w:pStyle w:val="Compact"/>
        <w:numPr>
          <w:ilvl w:val="0"/>
          <w:numId w:val="1007"/>
        </w:numPr>
      </w:pPr>
      <w:r>
        <w:t xml:space="preserve">confinement under a mandatory access control system</w:t>
      </w:r>
    </w:p>
    <w:p>
      <w:pPr>
        <w:pStyle w:val="Compact"/>
        <w:numPr>
          <w:ilvl w:val="0"/>
          <w:numId w:val="1007"/>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w:t>
      </w:r>
    </w:p>
    <w:p>
      <w:pPr>
        <w:pStyle w:val="Compact"/>
        <w:numPr>
          <w:ilvl w:val="0"/>
          <w:numId w:val="1008"/>
        </w:numPr>
      </w:pPr>
      <w:r>
        <w:t xml:space="preserve">a suppression added</w:t>
      </w:r>
    </w:p>
    <w:p>
      <w:pPr>
        <w:pStyle w:val="Compact"/>
        <w:numPr>
          <w:ilvl w:val="0"/>
          <w:numId w:val="1008"/>
        </w:numPr>
      </w:pPr>
      <w:r>
        <w:t xml:space="preserve">a job flipped from blocking to advisory</w:t>
      </w:r>
    </w:p>
    <w:p>
      <w:pPr>
        <w:pStyle w:val="Compact"/>
        <w:numPr>
          <w:ilvl w:val="0"/>
          <w:numId w:val="1008"/>
        </w:numPr>
      </w:pPr>
      <w:r>
        <w:t xml:space="preserve">a deviation whose ending 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9"/>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9"/>
        </w:numPr>
      </w:pPr>
      <w:r>
        <w:t xml:space="preserve">Re-confirm from the blocking-job list, not from a badge, that every check in the unwaivable set</w:t>
      </w:r>
      <w:r>
        <w:t xml:space="preserve"> </w:t>
      </w:r>
      <w:r>
        <w:t xml:space="preserve">still blocks.</w:t>
      </w:r>
    </w:p>
    <w:p>
      <w:pPr>
        <w:pStyle w:val="Compact"/>
        <w:numPr>
          <w:ilvl w:val="0"/>
          <w:numId w:val="1009"/>
        </w:numPr>
      </w:pPr>
      <w:r>
        <w:t xml:space="preserve">Confirm the scanner suppression list has not grown unreviewed.</w:t>
      </w:r>
    </w:p>
    <w:p>
      <w:pPr>
        <w:pStyle w:val="Compact"/>
        <w:numPr>
          <w:ilvl w:val="0"/>
          <w:numId w:val="1009"/>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w:t>
      </w:r>
    </w:p>
    <w:p>
      <w:pPr>
        <w:pStyle w:val="Compact"/>
        <w:numPr>
          <w:ilvl w:val="0"/>
          <w:numId w:val="1010"/>
        </w:numPr>
      </w:pPr>
      <w:r>
        <w:t xml:space="preserve">the objective, and what is explicitly out of scope</w:t>
      </w:r>
    </w:p>
    <w:p>
      <w:pPr>
        <w:pStyle w:val="Compact"/>
        <w:numPr>
          <w:ilvl w:val="0"/>
          <w:numId w:val="1010"/>
        </w:numPr>
      </w:pPr>
      <w:r>
        <w:t xml:space="preserve">the environment and authorized test site</w:t>
      </w:r>
    </w:p>
    <w:p>
      <w:pPr>
        <w:pStyle w:val="Compact"/>
        <w:numPr>
          <w:ilvl w:val="0"/>
          <w:numId w:val="1010"/>
        </w:numPr>
      </w:pPr>
      <w:r>
        <w:t xml:space="preserve">the artifacts you hand over up front, including threat models and the deviations register</w:t>
      </w:r>
    </w:p>
    <w:p>
      <w:pPr>
        <w:pStyle w:val="Compact"/>
        <w:numPr>
          <w:ilvl w:val="0"/>
          <w:numId w:val="1010"/>
        </w:numPr>
      </w:pPr>
      <w:r>
        <w:t xml:space="preserve">named contacts on both sides, including incident response</w:t>
      </w:r>
    </w:p>
    <w:p>
      <w:pPr>
        <w:pStyle w:val="Compact"/>
        <w:numPr>
          <w:ilvl w:val="0"/>
          <w:numId w:val="1010"/>
        </w:numPr>
      </w:pPr>
      <w:r>
        <w:t xml:space="preserve">permitted testing hours</w:t>
      </w:r>
    </w:p>
    <w:p>
      <w:pPr>
        <w:pStyle w:val="Compact"/>
        <w:numPr>
          <w:ilvl w:val="0"/>
          <w:numId w:val="1010"/>
        </w:numPr>
      </w:pPr>
      <w:r>
        <w:t xml:space="preserve">risks and agreed mitigations</w:t>
      </w:r>
    </w:p>
    <w:p>
      <w:pPr>
        <w:pStyle w:val="Compact"/>
        <w:numPr>
          <w:ilvl w:val="0"/>
          <w:numId w:val="1010"/>
        </w:numPr>
      </w:pPr>
      <w:r>
        <w:t xml:space="preserve">what data the tester may encounter, and how it must be handled and destroyed</w:t>
      </w:r>
    </w:p>
    <w:p>
      <w:pPr>
        <w:pStyle w:val="Compact"/>
        <w:numPr>
          <w:ilvl w:val="0"/>
          <w:numId w:val="1010"/>
        </w:numPr>
      </w:pPr>
      <w:r>
        <w:t xml:space="preserve">how findings are delivered and disclosed</w:t>
      </w:r>
    </w:p>
    <w:p>
      <w:pPr>
        <w:pStyle w:val="FirstParagraph"/>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It carries:</w:t>
      </w:r>
    </w:p>
    <w:p>
      <w:pPr>
        <w:pStyle w:val="Compact"/>
        <w:numPr>
          <w:ilvl w:val="0"/>
          <w:numId w:val="1011"/>
        </w:numPr>
      </w:pPr>
      <w:r>
        <w:t xml:space="preserve">verdict vocabulary</w:t>
      </w:r>
    </w:p>
    <w:p>
      <w:pPr>
        <w:pStyle w:val="Compact"/>
        <w:numPr>
          <w:ilvl w:val="0"/>
          <w:numId w:val="1011"/>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1"/>
        </w:numPr>
      </w:pPr>
      <w:r>
        <w:t xml:space="preserve">evidence anchors a machine can re-check</w:t>
      </w:r>
    </w:p>
    <w:p>
      <w:pPr>
        <w:pStyle w:val="Compact"/>
        <w:numPr>
          <w:ilvl w:val="0"/>
          <w:numId w:val="1011"/>
        </w:numPr>
      </w:pPr>
      <w:r>
        <w:t xml:space="preserve">corpus pinning</w:t>
      </w:r>
    </w:p>
    <w:p>
      <w:pPr>
        <w:pStyle w:val="Compact"/>
        <w:numPr>
          <w:ilvl w:val="0"/>
          <w:numId w:val="1011"/>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12"/>
        </w:numPr>
      </w:pPr>
      <w:r>
        <w:t xml:space="preserve">Automated blocking checks passing on the exact commit being released.</w:t>
      </w:r>
    </w:p>
    <w:p>
      <w:pPr>
        <w:pStyle w:val="Compact"/>
        <w:numPr>
          <w:ilvl w:val="0"/>
          <w:numId w:val="1012"/>
        </w:numPr>
      </w:pPr>
      <w:r>
        <w:t xml:space="preserve">No unresolved high or critical findings.</w:t>
      </w:r>
    </w:p>
    <w:p>
      <w:pPr>
        <w:pStyle w:val="Compact"/>
        <w:numPr>
          <w:ilvl w:val="0"/>
          <w:numId w:val="1012"/>
        </w:numPr>
      </w:pPr>
      <w:r>
        <w:t xml:space="preserve">Current independent-review status, or a signed risk acceptance standing in for it.</w:t>
      </w:r>
    </w:p>
    <w:p>
      <w:pPr>
        <w:pStyle w:val="Compact"/>
        <w:numPr>
          <w:ilvl w:val="0"/>
          <w:numId w:val="1012"/>
        </w:numPr>
      </w:pPr>
      <w:r>
        <w:t xml:space="preserve">Updated evidence.</w:t>
      </w:r>
    </w:p>
    <w:p>
      <w:pPr>
        <w:pStyle w:val="Compact"/>
        <w:numPr>
          <w:ilvl w:val="0"/>
          <w:numId w:val="1012"/>
        </w:numPr>
      </w:pPr>
      <w:r>
        <w:t xml:space="preserve">A signed artifact with its component inventory and digest manifest attached to the tag.</w:t>
      </w:r>
    </w:p>
    <w:p>
      <w:pPr>
        <w:pStyle w:val="Compact"/>
        <w:numPr>
          <w:ilvl w:val="0"/>
          <w:numId w:val="1012"/>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13"/>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13"/>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13"/>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13"/>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13"/>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14"/>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4"/>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14"/>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14"/>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14"/>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4"/>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15"/>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15"/>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15"/>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15"/>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6"/>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6"/>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6"/>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6"/>
        </w:numPr>
      </w:pPr>
      <w:hyperlink r:id="rId70">
        <w:r>
          <w:rPr>
            <w:rStyle w:val="Hyperlink"/>
          </w:rPr>
          <w:t xml:space="preserve">What to have ready when a buyer asks</w:t>
        </w:r>
      </w:hyperlink>
      <w:r>
        <w:t xml:space="preserve"> </w:t>
      </w:r>
      <w:r>
        <w:t xml:space="preserve">-- where section 12's outputs are</w:t>
      </w:r>
      <w:r>
        <w:t xml:space="preserve"> </w:t>
      </w:r>
      <w:r>
        <w:t xml:space="preserve">asked for, what each item of evidence carries, and why organization-layer evidence cannot stand in</w:t>
      </w:r>
      <w:r>
        <w:t xml:space="preserve"> </w:t>
      </w:r>
      <w:r>
        <w:t xml:space="preserve">for software-layer evidence</w:t>
      </w:r>
    </w:p>
    <w:p>
      <w:pPr>
        <w:pStyle w:val="Compact"/>
        <w:numPr>
          <w:ilvl w:val="0"/>
          <w:numId w:val="1016"/>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6"/>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6"/>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2026-08-11T00:29:04Z</dcterms:created>
  <dcterms:modified xsi:type="dcterms:W3CDTF">2026-08-11T00:29:04Z</dcterms:modified>
</cp:coreProperties>
</file>

<file path=docProps/custom.xml><?xml version="1.0" encoding="utf-8"?>
<Properties xmlns="http://schemas.openxmlformats.org/officeDocument/2006/custom-properties" xmlns:vt="http://schemas.openxmlformats.org/officeDocument/2006/docPropsVTypes"/>
</file>