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3" w:name="tldrbluf"/>
    <w:p>
      <w:pPr>
        <w:pStyle w:val="Heading2"/>
      </w:pPr>
      <w:r>
        <w:t xml:space="preserve">TLDR/BLUF</w:t>
      </w:r>
    </w:p>
    <w:p>
      <w:pPr>
        <w:pStyle w:val="FirstParagraph"/>
      </w:pPr>
      <w:r>
        <w:rPr>
          <w:b/>
          <w:bCs/>
        </w:rPr>
        <w:t xml:space="preserve">What this is.</w:t>
      </w:r>
      <w:r>
        <w:t xml:space="preserve"> </w:t>
      </w:r>
      <w:r>
        <w:t xml:space="preserve">A reference to consult, not a document to read through. One row per document: what</w:t>
      </w:r>
      <w:r>
        <w:t xml:space="preserve"> </w:t>
      </w:r>
      <w:r>
        <w:t xml:space="preserve">it issues, what triggers it, its status with the date that was checked, and a check you can run</w:t>
      </w:r>
      <w:r>
        <w:t xml:space="preserve"> </w:t>
      </w:r>
      <w:r>
        <w:t xml:space="preserve">yourself.</w:t>
      </w:r>
    </w:p>
    <w:p>
      <w:pPr>
        <w:pStyle w:val="BodyText"/>
      </w:pPr>
      <w:r>
        <w:rPr>
          <w:b/>
          <w:bCs/>
        </w:rPr>
        <w:t xml:space="preserve">Why it matters.</w:t>
      </w:r>
      <w:r>
        <w:t xml:space="preserve"> </w:t>
      </w:r>
      <w:r>
        <w:t xml:space="preserve">The tables come first and everything after them explains the cuts, so a reader</w:t>
      </w:r>
      <w:r>
        <w:t xml:space="preserve"> </w:t>
      </w:r>
      <w:r>
        <w:t xml:space="preserve">who came here to look one thing up is not made to read an argument first. Those sections are the</w:t>
      </w:r>
      <w:r>
        <w:t xml:space="preserve"> </w:t>
      </w:r>
      <w:r>
        <w:t xml:space="preserve">part worth reading once.</w:t>
      </w:r>
    </w:p>
    <w:p>
      <w:pPr>
        <w:pStyle w:val="BodyText"/>
      </w:pPr>
      <w:r>
        <w:rPr>
          <w:b/>
          <w:bCs/>
        </w:rPr>
        <w:t xml:space="preserve">Not for you</w:t>
      </w:r>
      <w:r>
        <w:t xml:space="preserve"> </w:t>
      </w:r>
      <w:r>
        <w:t xml:space="preserve">as a statement about what binds your organization. A clause number decides that,</w:t>
      </w:r>
      <w:r>
        <w:t xml:space="preserve"> </w:t>
      </w:r>
      <w:r>
        <w:t xml:space="preserve">applying to your situation is not the same thing as binding you, and nothing here is legal advice.</w:t>
      </w:r>
    </w:p>
    <w:p>
      <w:pPr>
        <w:pStyle w:val="BodyText"/>
      </w:pPr>
      <w:r>
        <w:rPr>
          <w:b/>
          <w:bCs/>
        </w:rPr>
        <w:t xml:space="preserve">Where to start.</w:t>
      </w:r>
      <w:r>
        <w:t xml:space="preserve"> </w:t>
      </w:r>
      <w:hyperlink w:anchor="Xf026880490802bdec86a71b6a5a431a077c0f4d">
        <w:r>
          <w:rPr>
            <w:rStyle w:val="Hyperlink"/>
          </w:rPr>
          <w:t xml:space="preserve">Three things to hold while reading any row</w:t>
        </w:r>
      </w:hyperlink>
      <w:r>
        <w:t xml:space="preserve">.</w:t>
      </w:r>
      <w:r>
        <w:t xml:space="preserve"> </w:t>
      </w:r>
      <w:r>
        <w:t xml:space="preserve">If you do not yet know which of these documents is worth your attention, you are on the wrong page:</w:t>
      </w:r>
      <w:r>
        <w:t xml:space="preserve"> </w:t>
      </w:r>
      <w:r>
        <w:t xml:space="preserve">start at</w:t>
      </w:r>
      <w:r>
        <w:t xml:space="preserve"> </w:t>
      </w:r>
      <w:hyperlink r:id="rId9">
        <w:r>
          <w:rPr>
            <w:rStyle w:val="Hyperlink"/>
          </w:rPr>
          <w:t xml:space="preserve">which standards apply to you</w:t>
        </w:r>
      </w:hyperlink>
      <w:r>
        <w:t xml:space="preserve">.</w:t>
      </w:r>
    </w:p>
    <w:p>
      <w:r>
        <w:pict>
          <v:rect style="width:0;height:1.5pt" o:hralign="center" o:hrstd="t" o:hr="t"/>
        </w:pict>
      </w:r>
    </w:p>
    <w:bookmarkEnd w:id="13"/>
    <w:bookmarkStart w:id="15" w:name="Xf026880490802bdec86a71b6a5a431a077c0f4d"/>
    <w:p>
      <w:pPr>
        <w:pStyle w:val="Heading2"/>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4">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t xml:space="preserve">The argument sits below the tables, in</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w:t>
      </w:r>
    </w:p>
    <w:p>
      <w:r>
        <w:pict>
          <v:rect style="width:0;height:1.5pt" o:hralign="center" o:hrstd="t" o:hr="t"/>
        </w:pict>
      </w:r>
    </w:p>
    <w:bookmarkEnd w:id="15"/>
    <w:bookmarkStart w:id="16"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6"/>
    <w:bookmarkStart w:id="20"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8"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7">
        <w:r>
          <w:rPr>
            <w:rStyle w:val="Hyperlink"/>
          </w:rPr>
          <w:t xml:space="preserve">Dependency integrity</w:t>
        </w:r>
      </w:hyperlink>
      <w:r>
        <w:t xml:space="preserve">, which names no baseline and claims</w:t>
      </w:r>
      <w:r>
        <w:t xml:space="preserve"> </w:t>
      </w:r>
      <w:r>
        <w:t xml:space="preserve">correspondence with none.</w:t>
      </w:r>
    </w:p>
    <w:bookmarkEnd w:id="18"/>
    <w:bookmarkStart w:id="19"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9"/>
    <w:bookmarkEnd w:id="20"/>
    <w:bookmarkStart w:id="25"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w:t>
      </w:r>
    </w:p>
    <w:p>
      <w:pPr>
        <w:pStyle w:val="Compact"/>
        <w:numPr>
          <w:ilvl w:val="0"/>
          <w:numId w:val="1002"/>
        </w:numPr>
      </w:pPr>
      <w:r>
        <w:t xml:space="preserve">a dependency policy is written in vulnerability identifiers</w:t>
      </w:r>
    </w:p>
    <w:p>
      <w:pPr>
        <w:pStyle w:val="Compact"/>
        <w:numPr>
          <w:ilvl w:val="0"/>
          <w:numId w:val="1002"/>
        </w:numPr>
      </w:pPr>
      <w:r>
        <w:t xml:space="preserve">a scanner reports in weakness identifiers</w:t>
      </w:r>
    </w:p>
    <w:p>
      <w:pPr>
        <w:pStyle w:val="Compact"/>
        <w:numPr>
          <w:ilvl w:val="0"/>
          <w:numId w:val="1002"/>
        </w:numPr>
      </w:pPr>
      <w:r>
        <w:t xml:space="preserve">an SBOM is emitted in one of two formats</w:t>
      </w:r>
    </w:p>
    <w:p>
      <w:pPr>
        <w:pStyle w:val="Compact"/>
        <w:numPr>
          <w:ilvl w:val="0"/>
          <w:numId w:val="1002"/>
        </w:numPr>
      </w:pPr>
      <w:r>
        <w:t xml:space="preserve">a requirements document borrows the quality vocabulary</w:t>
      </w:r>
    </w:p>
    <w:p>
      <w:pPr>
        <w:pStyle w:val="FirstParagraph"/>
      </w:pPr>
      <w:r>
        <w:t xml:space="preserve">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w:t>
      </w:r>
    </w:p>
    <w:p>
      <w:pPr>
        <w:pStyle w:val="Compact"/>
        <w:numPr>
          <w:ilvl w:val="0"/>
          <w:numId w:val="1003"/>
        </w:numPr>
      </w:pPr>
      <w:r>
        <w:t xml:space="preserve">the cut the tables sort on</w:t>
      </w:r>
    </w:p>
    <w:p>
      <w:pPr>
        <w:pStyle w:val="Compact"/>
        <w:numPr>
          <w:ilvl w:val="0"/>
          <w:numId w:val="1003"/>
        </w:numPr>
      </w:pPr>
      <w:r>
        <w:t xml:space="preserve">the layer distinction that decides what an instrument is evidence of</w:t>
      </w:r>
    </w:p>
    <w:p>
      <w:pPr>
        <w:pStyle w:val="Compact"/>
        <w:numPr>
          <w:ilvl w:val="0"/>
          <w:numId w:val="1003"/>
        </w:numPr>
      </w:pPr>
      <w:r>
        <w:t xml:space="preserve">the routes by which any of this arrives</w:t>
      </w:r>
    </w:p>
    <w:p>
      <w:pPr>
        <w:pStyle w:val="Compact"/>
        <w:numPr>
          <w:ilvl w:val="0"/>
          <w:numId w:val="1003"/>
        </w:numPr>
      </w:pPr>
      <w:r>
        <w:t xml:space="preserve">why a status without a date is worthless</w:t>
      </w:r>
    </w:p>
    <w:p>
      <w:pPr>
        <w:pStyle w:val="FirstParagraph"/>
      </w:pPr>
      <w:r>
        <w:t xml:space="preserve">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w:t>
      </w:r>
    </w:p>
    <w:p>
      <w:pPr>
        <w:pStyle w:val="BodyText"/>
      </w:pPr>
      <w:r>
        <w:t xml:space="preserve">Labeling the group by the absence invites a reader to skip it, which is the wrong move for material</w:t>
      </w:r>
      <w:r>
        <w:t xml:space="preserve"> </w:t>
      </w:r>
      <w:r>
        <w:t xml:space="preserve">their own policies are written in.</w:t>
      </w:r>
      <w:r>
        <w:t xml:space="preserve"> </w:t>
      </w:r>
      <w:hyperlink w:anchor="input-you-use-not-a-rule-you-meet">
        <w:r>
          <w:rPr>
            <w:rStyle w:val="Hyperlink"/>
          </w:rPr>
          <w:t xml:space="preserve">Input you use, not a rule you meet</w:t>
        </w:r>
      </w:hyperlink>
      <w:r>
        <w:t xml:space="preserve"> </w:t>
      </w:r>
      <w:r>
        <w:t xml:space="preserve">is where that group's rows</w:t>
      </w:r>
      <w:r>
        <w:t xml:space="preserve"> </w:t>
      </w:r>
      <w:r>
        <w:t xml:space="preserve">live. It lists the four ways a producer uses every item in it, and it says where a demand actually</w:t>
      </w:r>
      <w:r>
        <w:t xml:space="preserve"> </w:t>
      </w:r>
      <w:r>
        <w:t xml:space="preserve">comes from, which is never the document.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9"/>
    <w:bookmarkStart w:id="30"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30"/>
    <w:bookmarkStart w:id="31"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w:t>
      </w:r>
    </w:p>
    <w:p>
      <w:pPr>
        <w:pStyle w:val="Compact"/>
        <w:numPr>
          <w:ilvl w:val="0"/>
          <w:numId w:val="1004"/>
        </w:numPr>
      </w:pPr>
      <w:r>
        <w:t xml:space="preserve">a contracting officer inserted a clause</w:t>
      </w:r>
    </w:p>
    <w:p>
      <w:pPr>
        <w:pStyle w:val="Compact"/>
        <w:numPr>
          <w:ilvl w:val="0"/>
          <w:numId w:val="1004"/>
        </w:numPr>
      </w:pPr>
      <w:r>
        <w:t xml:space="preserve">a prime flowed one down</w:t>
      </w:r>
    </w:p>
    <w:p>
      <w:pPr>
        <w:pStyle w:val="Compact"/>
        <w:numPr>
          <w:ilvl w:val="0"/>
          <w:numId w:val="1004"/>
        </w:numPr>
      </w:pPr>
      <w:r>
        <w:t xml:space="preserve">a customer sent a questionnaire</w:t>
      </w:r>
    </w:p>
    <w:p>
      <w:pPr>
        <w:pStyle w:val="Compact"/>
        <w:numPr>
          <w:ilvl w:val="0"/>
          <w:numId w:val="1004"/>
        </w:numPr>
      </w:pPr>
      <w:r>
        <w:t xml:space="preserve">an acquirer set a validation requirement</w:t>
      </w:r>
    </w:p>
    <w:p>
      <w:pPr>
        <w:pStyle w:val="Compact"/>
        <w:numPr>
          <w:ilvl w:val="0"/>
          <w:numId w:val="1004"/>
        </w:numPr>
      </w:pPr>
      <w:r>
        <w:t xml:space="preserve">you adopted it yourself</w:t>
      </w:r>
    </w:p>
    <w:p>
      <w:pPr>
        <w:pStyle w:val="FirstParagraph"/>
      </w:pPr>
      <w:r>
        <w:t xml:space="preserve">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1"/>
    <w:bookmarkStart w:id="33"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5"/>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5"/>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5"/>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5"/>
        </w:numPr>
      </w:pPr>
      <w:r>
        <w:rPr>
          <w:b/>
          <w:bCs/>
        </w:rPr>
        <w:t xml:space="preserve">A rename.</w:t>
      </w:r>
      <w:r>
        <w:t xml:space="preserve"> </w:t>
      </w:r>
      <w:r>
        <w:t xml:space="preserve">Search stops working, and both names are often legitimately live at once.</w:t>
      </w:r>
    </w:p>
    <w:p>
      <w:pPr>
        <w:pStyle w:val="Compact"/>
        <w:numPr>
          <w:ilvl w:val="0"/>
          <w:numId w:val="1005"/>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3"/>
    <w:bookmarkStart w:id="34"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w:t>
      </w:r>
      <w:r>
        <w:t xml:space="preserve">Each is also</w:t>
      </w:r>
      <w:r>
        <w:t xml:space="preserve"> </w:t>
      </w:r>
      <w:r>
        <w:t xml:space="preserve">marked in its own cell:</w:t>
      </w:r>
    </w:p>
    <w:p>
      <w:pPr>
        <w:pStyle w:val="Compact"/>
        <w:numPr>
          <w:ilvl w:val="0"/>
          <w:numId w:val="1006"/>
        </w:numPr>
      </w:pPr>
      <w:r>
        <w:t xml:space="preserve">the suspension of the defense program phases beyond the first</w:t>
      </w:r>
    </w:p>
    <w:p>
      <w:pPr>
        <w:pStyle w:val="Compact"/>
        <w:numPr>
          <w:ilvl w:val="0"/>
          <w:numId w:val="1006"/>
        </w:numPr>
      </w:pPr>
      <w:r>
        <w:t xml:space="preserve">the standing of the class deviation that pins the safeguarding clause to an earlier revision</w:t>
      </w:r>
    </w:p>
    <w:p>
      <w:pPr>
        <w:pStyle w:val="Compact"/>
        <w:numPr>
          <w:ilvl w:val="0"/>
          <w:numId w:val="1006"/>
        </w:numPr>
      </w:pPr>
      <w:r>
        <w:t xml:space="preserve">the audit baseline for the law-enforcement-data policy</w:t>
      </w:r>
    </w:p>
    <w:p>
      <w:pPr>
        <w:pStyle w:val="Compact"/>
        <w:numPr>
          <w:ilvl w:val="0"/>
          <w:numId w:val="1006"/>
        </w:numPr>
      </w:pPr>
      <w:r>
        <w:t xml:space="preserve">the certificate transition end date for the 2013 management-system edition</w:t>
      </w:r>
    </w:p>
    <w:p>
      <w:pPr>
        <w:pStyle w:val="Compact"/>
        <w:numPr>
          <w:ilvl w:val="0"/>
          <w:numId w:val="1006"/>
        </w:numPr>
      </w:pPr>
      <w:r>
        <w:t xml:space="preserve">the projected date for the pending sector-rule overhaul</w:t>
      </w:r>
    </w:p>
    <w:p>
      <w:pPr>
        <w:pStyle w:val="Compact"/>
        <w:numPr>
          <w:ilvl w:val="0"/>
          <w:numId w:val="1006"/>
        </w:numPr>
      </w:pPr>
      <w:r>
        <w:t xml:space="preserve">the finalization date of the current web application ranking</w:t>
      </w:r>
    </w:p>
    <w:p>
      <w:pPr>
        <w:pStyle w:val="Compact"/>
        <w:numPr>
          <w:ilvl w:val="0"/>
          <w:numId w:val="1006"/>
        </w:numPr>
      </w:pPr>
      <w:r>
        <w:t xml:space="preserve">the tier detail for the validated-assessment program</w:t>
      </w:r>
    </w:p>
    <w:p>
      <w:pPr>
        <w:pStyle w:val="Compact"/>
        <w:numPr>
          <w:ilvl w:val="0"/>
          <w:numId w:val="1006"/>
        </w:numPr>
      </w:pPr>
      <w:r>
        <w:t xml:space="preserve">the model version behind the published exploit-probability scores</w:t>
      </w:r>
    </w:p>
    <w:p>
      <w:pPr>
        <w:pStyle w:val="FirstParagraph"/>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4"/>
    <w:bookmarkStart w:id="43"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7"/>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5">
        <w:r>
          <w:rPr>
            <w:rStyle w:val="Hyperlink"/>
          </w:rPr>
          <w:t xml:space="preserve">CSRC publication records</w:t>
        </w:r>
      </w:hyperlink>
      <w:r>
        <w:t xml:space="preserve">; for the EU items, the</w:t>
      </w:r>
      <w:r>
        <w:t xml:space="preserve"> </w:t>
      </w:r>
      <w:hyperlink r:id="rId36">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7">
        <w:r>
          <w:rPr>
            <w:rStyle w:val="Hyperlink"/>
          </w:rPr>
          <w:t xml:space="preserve">Federal Register</w:t>
        </w:r>
      </w:hyperlink>
      <w:r>
        <w:t xml:space="preserve">.</w:t>
      </w:r>
    </w:p>
    <w:p>
      <w:pPr>
        <w:pStyle w:val="Compact"/>
        <w:numPr>
          <w:ilvl w:val="0"/>
          <w:numId w:val="1007"/>
        </w:numPr>
      </w:pPr>
      <w:r>
        <w:rPr>
          <w:b/>
          <w:bCs/>
        </w:rPr>
        <w:t xml:space="preserve">The program's own definitions page</w:t>
      </w:r>
      <w:r>
        <w:t xml:space="preserve">, for anything whose vocabulary has moved. The</w:t>
      </w:r>
      <w:r>
        <w:t xml:space="preserve"> </w:t>
      </w:r>
      <w:hyperlink r:id="rId38">
        <w:r>
          <w:rPr>
            <w:rStyle w:val="Hyperlink"/>
          </w:rPr>
          <w:t xml:space="preserve">cloud program's definitions</w:t>
        </w:r>
      </w:hyperlink>
      <w:r>
        <w:t xml:space="preserve"> </w:t>
      </w:r>
      <w:r>
        <w:t xml:space="preserve">is the live example.</w:t>
      </w:r>
    </w:p>
    <w:p>
      <w:pPr>
        <w:pStyle w:val="Compact"/>
        <w:numPr>
          <w:ilvl w:val="0"/>
          <w:numId w:val="1007"/>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7"/>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9">
        <w:r>
          <w:rPr>
            <w:rStyle w:val="Hyperlink"/>
          </w:rPr>
          <w:t xml:space="preserve">January 2026 memorandum that rescinded the federal attestation mandate</w:t>
        </w:r>
      </w:hyperlink>
      <w:r>
        <w:t xml:space="preserve">,</w:t>
      </w:r>
      <w:r>
        <w:t xml:space="preserve"> </w:t>
      </w:r>
      <w:r>
        <w:t xml:space="preserve">the</w:t>
      </w:r>
      <w:r>
        <w:t xml:space="preserve"> </w:t>
      </w:r>
      <w:hyperlink r:id="rId40">
        <w:r>
          <w:rPr>
            <w:rStyle w:val="Hyperlink"/>
          </w:rPr>
          <w:t xml:space="preserve">2026 SBOM minimum elements</w:t>
        </w:r>
      </w:hyperlink>
      <w:r>
        <w:t xml:space="preserve">,</w:t>
      </w:r>
      <w:r>
        <w:t xml:space="preserve"> </w:t>
      </w:r>
      <w:r>
        <w:t xml:space="preserve">the</w:t>
      </w:r>
      <w:r>
        <w:t xml:space="preserve"> </w:t>
      </w:r>
      <w:hyperlink r:id="rId41">
        <w:r>
          <w:rPr>
            <w:rStyle w:val="Hyperlink"/>
          </w:rPr>
          <w:t xml:space="preserve">SSDF publication listing</w:t>
        </w:r>
      </w:hyperlink>
      <w:r>
        <w:t xml:space="preserve">, and the</w:t>
      </w:r>
      <w:r>
        <w:t xml:space="preserve"> </w:t>
      </w:r>
      <w:hyperlink r:id="rId42">
        <w:r>
          <w:rPr>
            <w:rStyle w:val="Hyperlink"/>
          </w:rPr>
          <w:t xml:space="preserve">build and source track specifications</w:t>
        </w:r>
      </w:hyperlink>
      <w:r>
        <w:t xml:space="preserve">.</w:t>
      </w:r>
    </w:p>
    <w:p>
      <w:r>
        <w:pict>
          <v:rect style="width:0;height:1.5pt" o:hralign="center" o:hrstd="t" o:hr="t"/>
        </w:pict>
      </w:r>
    </w:p>
    <w:bookmarkEnd w:id="43"/>
    <w:bookmarkStart w:id="48"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a buyer will ask you for, and what each artifact actually proves</w:t>
            </w:r>
          </w:p>
        </w:tc>
        <w:tc>
          <w:tcPr/>
          <w:p>
            <w:pPr>
              <w:pStyle w:val="Compact"/>
            </w:pPr>
            <w:hyperlink r:id="rId44">
              <w:r>
                <w:rPr>
                  <w:rStyle w:val="Hyperlink"/>
                </w:rPr>
                <w:t xml:space="preserve">What to have ready when a buyer asks</w:t>
              </w:r>
            </w:hyperlink>
          </w:p>
        </w:tc>
      </w:tr>
      <w:tr>
        <w:tc>
          <w:tcPr/>
          <w:p>
            <w:pPr>
              <w:pStyle w:val="Compact"/>
            </w:pPr>
            <w:r>
              <w:t xml:space="preserve">Whether your teams already do this</w:t>
            </w:r>
          </w:p>
        </w:tc>
        <w:tc>
          <w:tcPr/>
          <w:p>
            <w:pPr>
              <w:pStyle w:val="Compact"/>
            </w:pPr>
            <w:hyperlink r:id="rId45">
              <w:r>
                <w:rPr>
                  <w:rStyle w:val="Hyperlink"/>
                </w:rPr>
                <w:t xml:space="preserve">The CISO summary</w:t>
              </w:r>
            </w:hyperlink>
          </w:p>
        </w:tc>
      </w:tr>
      <w:tr>
        <w:tc>
          <w:tcPr/>
          <w:p>
            <w:pPr>
              <w:pStyle w:val="Compact"/>
            </w:pPr>
            <w:r>
              <w:t xml:space="preserve">The control set for AI-assisted work</w:t>
            </w:r>
          </w:p>
        </w:tc>
        <w:tc>
          <w:tcPr/>
          <w:p>
            <w:pPr>
              <w:pStyle w:val="Compact"/>
            </w:pPr>
            <w:hyperlink r:id="rId46">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3">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7">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2">
              <w:r>
                <w:rPr>
                  <w:rStyle w:val="Hyperlink"/>
                </w:rPr>
                <w:t xml:space="preserve">Use OWASP ASVS 5.0</w:t>
              </w:r>
            </w:hyperlink>
          </w:p>
        </w:tc>
      </w:tr>
      <w:tr>
        <w:tc>
          <w:tcPr/>
          <w:p>
            <w:pPr>
              <w:pStyle w:val="Compact"/>
            </w:pPr>
            <w:r>
              <w:t xml:space="preserve">All of it, and how to adopt</w:t>
            </w:r>
          </w:p>
        </w:tc>
        <w:tc>
          <w:tcPr/>
          <w:p>
            <w:pPr>
              <w:pStyle w:val="Compact"/>
            </w:pPr>
            <w:hyperlink r:id="rId47">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2026-08-11T01:10:12Z</dcterms:created>
  <dcterms:modified xsi:type="dcterms:W3CDTF">2026-08-11T01:10:12Z</dcterms:modified>
</cp:coreProperties>
</file>

<file path=docProps/custom.xml><?xml version="1.0" encoding="utf-8"?>
<Properties xmlns="http://schemas.openxmlformats.org/officeDocument/2006/custom-properties" xmlns:vt="http://schemas.openxmlformats.org/officeDocument/2006/docPropsVTypes"/>
</file>