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opening sections are yours: the decisions to settle before any scoring</w:t>
      </w:r>
      <w:r>
        <w:t xml:space="preserve"> </w:t>
      </w:r>
      <w:r>
        <w:t xml:space="preserve">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</w:t>
      </w:r>
      <w:r>
        <w:t xml:space="preserve"> </w:t>
      </w:r>
      <w:r>
        <w:t xml:space="preserve">to the agent and carries a paste-ready command. Build the pinned corpus first, and score nothing</w:t>
      </w:r>
      <w:r>
        <w:t xml:space="preserve"> </w:t>
      </w:r>
      <w:r>
        <w:t xml:space="preserve">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Most of the forcing functions above are claims about record-keeping, so here is the shape itself.</w:t>
      </w:r>
      <w:r>
        <w:t xml:space="preserve"> </w:t>
      </w:r>
      <w:r>
        <w:t xml:space="preserve">This is an 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hint; never used to locate the token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 Its domain</w:t>
      </w:r>
      <w:r>
        <w:t xml:space="preserve"> </w:t>
      </w:r>
      <w:r>
        <w:t xml:space="preserve">is a step number from the decision procedure, or the name of a rule written outside it.</w:t>
      </w:r>
      <w:r>
        <w:t xml:space="preserve"> </w:t>
      </w:r>
      <w:r>
        <w:rPr>
          <w:rStyle w:val="VerbatimChar"/>
        </w:rPr>
        <w:t xml:space="preserve">ships-off</w:t>
      </w:r>
      <w:r>
        <w:t xml:space="preserve"> </w:t>
      </w:r>
      <w:r>
        <w:t xml:space="preserve">above is the second form: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cell names which of that grade's three shapes fired. A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cell names the rule that applies after the sequence has run.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is a commit id and not a time, whatever the</w:t>
      </w:r>
      <w:r>
        <w:t xml:space="preserve"> </w:t>
      </w:r>
      <w:r>
        <w:rPr>
          <w:rStyle w:val="VerbatimChar"/>
        </w:rPr>
        <w:t xml:space="preserve">_at</w:t>
      </w:r>
      <w:r>
        <w:t xml:space="preserve"> </w:t>
      </w:r>
      <w:r>
        <w:t xml:space="preserve">suggests. It says which tree was read, which is what every later reconciliation argument turns on.</w:t>
      </w:r>
      <w:r>
        <w:t xml:space="preserve"> </w:t>
      </w:r>
      <w:r>
        <w:t xml:space="preserve">A cell carrying only a grade and a file path is not a cheaper version of this. It is a verdict that</w:t>
      </w:r>
      <w:r>
        <w:t xml:space="preserve"> </w:t>
      </w:r>
      <w:r>
        <w:t xml:space="preserve">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never locates the token.</w:t>
      </w:r>
      <w:r>
        <w:t xml:space="preserve"> </w:t>
      </w:r>
      <w:r>
        <w:t xml:space="preserve">The anchor verifier reads it only to report</w:t>
      </w:r>
      <w:r>
        <w:t xml:space="preserve"> </w:t>
      </w:r>
      <w:r>
        <w:t xml:space="preserve">displacement, which is advisory. The reason is the most expensive thing this method learned the</w:t>
      </w:r>
      <w:r>
        <w:t xml:space="preserve"> </w:t>
      </w:r>
      <w:r>
        <w:t xml:space="preserve">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 and</w:t>
      </w:r>
      <w:r>
        <w:t xml:space="preserve"> </w:t>
      </w:r>
      <w:r>
        <w:t xml:space="preserve">certifies nobody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Establish your number early -- by timing a</w:t>
      </w:r>
      <w:r>
        <w:t xml:space="preserve"> </w:t>
      </w:r>
      <w:r>
        <w:t xml:space="preserve">pilot section of your own, not by taking one from a page that has never seen your codebase. A</w:t>
      </w:r>
      <w:r>
        <w:t xml:space="preserve"> </w:t>
      </w:r>
      <w:r>
        <w:t xml:space="preserve">figure printed here would be wrong for you and would get planned against anyway.</w:t>
      </w:r>
      <w:r>
        <w:t xml:space="preserve"> </w:t>
      </w:r>
      <w:hyperlink w:anchor="say-the-per-cell-cost-early">
        <w:r>
          <w:rPr>
            <w:rStyle w:val="Hyperlink"/>
          </w:rPr>
          <w:t xml:space="preserve">Say the per-cell cost early</w:t>
        </w:r>
      </w:hyperlink>
      <w:r>
        <w:t xml:space="preserve"> </w:t>
      </w:r>
      <w:r>
        <w:t xml:space="preserve">carries the cost argument and the one</w:t>
      </w:r>
      <w:r>
        <w:t xml:space="preserve"> </w:t>
      </w:r>
      <w:r>
        <w:t xml:space="preserve">place savings come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,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 </w:t>
      </w:r>
      <w:r>
        <w:t xml:space="preserve">and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three before starting, not when something goes wrong. All three sit past the Part 1</w:t>
      </w:r>
      <w:r>
        <w:t xml:space="preserve"> </w:t>
      </w:r>
      <w:r>
        <w:t xml:space="preserve">boundary, in the half addressed to the agent. Cross it on purpose: the corpus is your work item,</w:t>
      </w:r>
      <w:r>
        <w:t xml:space="preserve"> </w:t>
      </w:r>
      <w:r>
        <w:t xml:space="preserve">and its mechanics are written there.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positive scope declaration</w:t>
      </w:r>
    </w:p>
    <w:p>
      <w:pPr>
        <w:pStyle w:val="Compact"/>
        <w:numPr>
          <w:ilvl w:val="0"/>
          <w:numId w:val="1005"/>
        </w:numPr>
      </w:pPr>
      <w:r>
        <w:t xml:space="preserve">the domain claim, which needs its own evidence</w:t>
      </w:r>
    </w:p>
    <w:p>
      <w:pPr>
        <w:pStyle w:val="Compact"/>
        <w:numPr>
          <w:ilvl w:val="0"/>
          <w:numId w:val="1005"/>
        </w:numPr>
      </w:pPr>
      <w:r>
        <w:t xml:space="preserve">the corpus mechanics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 description of one, which is why its register changes from here -- it</w:t>
      </w:r>
      <w:r>
        <w:t xml:space="preserve"> </w:t>
      </w:r>
      <w:r>
        <w:t xml:space="preserve">is addressed to the agent, not 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by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the toolkit these documents</w:t>
      </w:r>
      <w:r>
        <w:t xml:space="preserve"> </w:t>
      </w:r>
      <w:r>
        <w:t xml:space="preserve">came out of?</w:t>
      </w:r>
      <w:r>
        <w:t xml:space="preserve"> </w:t>
      </w:r>
      <w:hyperlink r:id="rId22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that toolkit's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3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An exceptions-only report hides the denominator.</w:t>
      </w:r>
      <w:r>
        <w:t xml:space="preserve"> </w:t>
      </w:r>
      <w:r>
        <w:t xml:space="preserve">The obligation is to report every requirement,</w:t>
      </w:r>
      <w:r>
        <w:t xml:space="preserve"> </w:t>
      </w:r>
      <w:r>
        <w:t xml:space="preserve">not the exceptions only. A reader given exceptions alone cannot tell a thorough assessment from a</w:t>
      </w:r>
      <w:r>
        <w:t xml:space="preserve"> </w:t>
      </w:r>
      <w:r>
        <w:t xml:space="preserve">shallow one.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5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the first work item,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It runs before the</w:t>
      </w:r>
      <w:r>
        <w:t xml:space="preserve"> </w:t>
      </w:r>
      <w:r>
        <w:t xml:space="preserve">decision procedure below, not as a step inside it. Everything downstream depends on an assessor</w:t>
      </w:r>
      <w:r>
        <w:t xml:space="preserve"> </w:t>
      </w:r>
      <w:r>
        <w:t xml:space="preserve">being able to quote the requirement it is judging.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7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7"/>
    <w:bookmarkStart w:id="28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a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30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re-derived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pinned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 yet re-derived</w:t>
      </w:r>
      <w:r>
        <w:t xml:space="preserve"> </w:t>
      </w:r>
      <w:r>
        <w:t xml:space="preserve">as two numbers rather than one. Neither number is</w:t>
      </w:r>
      <w:r>
        <w:t xml:space="preserve"> </w:t>
      </w:r>
      <w:r>
        <w:t xml:space="preserve">a pass count.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 set has been read against the pinned</w:t>
      </w:r>
      <w:r>
        <w:t xml:space="preserve"> </w:t>
      </w:r>
      <w:r>
        <w:t xml:space="preserve">text -- as its own figure, and say on every verdict total 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re-derived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re-derived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30"/>
    <w:bookmarkStart w:id="31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1"/>
    <w:bookmarkStart w:id="32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2"/>
    <w:bookmarkStart w:id="33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 it after the sequence has run: if two assessors following 1-5</w:t>
      </w:r>
      <w:r>
        <w:t xml:space="preserve"> </w:t>
      </w:r>
      <w:r>
        <w:t xml:space="preserve">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5"/>
    <w:bookmarkStart w:id="37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6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unit, one</w:t>
      </w:r>
      <w:r>
        <w:t xml:space="preserve"> </w:t>
      </w:r>
      <w:r>
        <w:rPr>
          <w:b/>
          <w:bCs/>
        </w:rPr>
        <w:t xml:space="preserve">cell</w:t>
      </w:r>
      <w:r>
        <w:t xml:space="preserve">, is small enough that one agent can hold the requirement text, one</w:t>
      </w:r>
      <w:r>
        <w:t xml:space="preserve"> </w:t>
      </w:r>
      <w:r>
        <w:t xml:space="preserve">implementing code path, and one evidence pointer in a single context window.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8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8"/>
    <w:bookmarkStart w:id="39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9"/>
    <w:bookmarkStart w:id="40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2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4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4"/>
    <w:bookmarkStart w:id="45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past anchoring: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5"/>
    <w:bookmarkStart w:id="4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6"/>
    <w:bookmarkStart w:id="47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7"/>
    <w:bookmarkStart w:id="48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8"/>
    <w:bookmarkStart w:id="4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9"/>
    <w:bookmarkStart w:id="5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The claude-multisession toolkit has a worked example of the same principle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guardrails.</w:t>
      </w:r>
      <w:r>
        <w:t xml:space="preserve"> </w:t>
      </w:r>
      <w:r>
        <w:t xml:space="preserve">It is a separate repository, so the path below is not in the tree you are assessing.</w:t>
      </w:r>
      <w:r>
        <w:t xml:space="preserve"> </w:t>
      </w: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1"/>
    <w:bookmarkStart w:id="5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4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4"/>
    <w:bookmarkStart w:id="55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5"/>
    <w:bookmarkStart w:id="56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requirement ID and a one-line summary -- from an internal scorecard, a</w:t>
      </w:r>
      <w:r>
        <w:t xml:space="preserve"> </w:t>
      </w:r>
      <w:r>
        <w:t xml:space="preserve">spreadsheet, or an earlier assessment -- and then reasons about the code from that. It feels exactly</w:t>
      </w:r>
      <w:r>
        <w:t xml:space="preserve"> </w:t>
      </w:r>
      <w:r>
        <w:t xml:space="preserve">like verification: code was read, a verdict was written, a citation exists. But the verb being tested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1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1"/>
    <w:bookmarkStart w:id="62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2"/>
    <w:bookmarkStart w:id="63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3"/>
    <w:bookmarkStart w:id="64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4"/>
    <w:bookmarkStart w:id="65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which cells a change touched: at least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Start w:id="6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the rest of this section.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</w:t>
      </w:r>
      <w:r>
        <w:t xml:space="preserve"> </w:t>
      </w:r>
      <w:r>
        <w:t xml:space="preserve">that 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The claude-multisession toolkit's</w:t>
      </w:r>
      <w:r>
        <w:t xml:space="preserve"> </w:t>
      </w:r>
      <w:hyperlink r:id="rId7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1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2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3"/>
    <w:bookmarkStart w:id="74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4"/>
    <w:bookmarkStart w:id="75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5"/>
    <w:bookmarkStart w:id="76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6"/>
    <w:bookmarkStart w:id="77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  <w:r>
              <w:t xml:space="preserve">, then check that its</w:t>
            </w:r>
            <w:r>
              <w:t xml:space="preserve"> </w:t>
            </w:r>
            <w:r>
              <w:rPr>
                <w:b/>
                <w:bCs/>
              </w:rPr>
              <w:t xml:space="preserve">stated reintroduction still trips the pattern</w:t>
            </w:r>
          </w:p>
        </w:tc>
        <w:tc>
          <w:tcPr/>
          <w:p>
            <w:pPr>
              <w:pStyle w:val="Compact"/>
            </w:pPr>
            <w:r>
              <w:t xml:space="preserve">Vacuous greps; a pattern blind to what it ruled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9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9"/>
    <w:bookmarkStart w:id="80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80"/>
    <w:bookmarkStart w:id="81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1"/>
    <w:bookmarkStart w:id="82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2"/>
    <w:bookmarkStart w:id="83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3"/>
    <w:bookmarkStart w:id="84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4"/>
    <w:bookmarkStart w:id="85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5"/>
    <w:bookmarkStart w:id="86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9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2"/>
    <w:bookmarkStart w:id="9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anchor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</w:t>
      </w:r>
      <w:r>
        <w:t xml:space="preserve"> </w:t>
      </w:r>
      <w:r>
        <w:t xml:space="preserve">(fatal), 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5" w:name="see-also"/>
    <w:p>
      <w:pPr>
        <w:pStyle w:val="Heading2"/>
      </w:pPr>
      <w:r>
        <w:t xml:space="preserve">See also</w:t>
      </w:r>
    </w:p>
    <w:p>
      <w:pPr>
        <w:pStyle w:val="FirstParagraph"/>
      </w:pPr>
      <w:r>
        <w:t xml:space="preserve">These are paths in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not in the</w:t>
      </w:r>
      <w:r>
        <w:t xml:space="preserve"> </w:t>
      </w:r>
      <w:r>
        <w:t xml:space="preserve">assessed tree.</w:t>
      </w:r>
    </w:p>
    <w:p>
      <w:pPr>
        <w:pStyle w:val="Compact"/>
        <w:numPr>
          <w:ilvl w:val="0"/>
          <w:numId w:val="1046"/>
        </w:numPr>
      </w:pPr>
      <w:hyperlink r:id="rId23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why an installed copy, not a</w:t>
      </w:r>
      <w:r>
        <w:t xml:space="preserve"> </w:t>
      </w:r>
      <w:r>
        <w:t xml:space="preserve">source file, is the unit of audit.</w:t>
      </w:r>
    </w:p>
    <w:p>
      <w:pPr>
        <w:pStyle w:val="Compact"/>
        <w:numPr>
          <w:ilvl w:val="0"/>
          <w:numId w:val="1046"/>
        </w:numPr>
      </w:pP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4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2026-08-11T12:58:50Z</dcterms:created>
  <dcterms:modified xsi:type="dcterms:W3CDTF">2026-08-11T12:58:50Z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