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6"/>
        </w:rPr>
        <w:t>Highlights</w:t>
      </w:r>
    </w:p>
    <w:p>
      <w:pPr>
        <w:spacing w:after="280"/>
      </w:pPr>
      <w:r>
        <w:rPr>
          <w:i/>
        </w:rPr>
        <w:t>Label-free covariance alignment for longitudinal EEG decoding</w:t>
      </w:r>
    </w:p>
    <w:p>
      <w:pPr>
        <w:pStyle w:val="ListBullet"/>
        <w:spacing w:after="160"/>
      </w:pPr>
      <w:r>
        <w:t>A 24,181-parameter EEG decoder emitting class and calibrated confidence.</w:t>
      </w:r>
    </w:p>
    <w:p>
      <w:pPr>
        <w:pStyle w:val="ListBullet"/>
        <w:spacing w:after="160"/>
      </w:pPr>
      <w:r>
        <w:t>Label-free in-network alignment reduces session drift by 52–84% in 15 of 15 subjects.</w:t>
      </w:r>
    </w:p>
    <w:p>
      <w:pPr>
        <w:pStyle w:val="ListBullet"/>
        <w:spacing w:after="160"/>
      </w:pPr>
      <w:r>
        <w:t>Test-time adaptation can track the streaming class and erase the signal it protects.</w:t>
      </w:r>
    </w:p>
    <w:p>
      <w:pPr>
        <w:pStyle w:val="ListBullet"/>
        <w:spacing w:after="160"/>
      </w:pPr>
      <w:r>
        <w:t>Two cohorts have opposite adaptation-rate optima, costing 0.06–0.09 to get wrong.</w:t>
      </w:r>
    </w:p>
    <w:p>
      <w:pPr>
        <w:pStyle w:val="ListBullet"/>
        <w:spacing w:after="160"/>
      </w:pPr>
      <w:r>
        <w:t>The admissible rate band is computable from the recording protocol before fitting.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