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CALM-Net Midterm Presentation Script</w:t>
      </w:r>
    </w:p>
    <w:tbl>
      <w:tblPr>
        <w:tblStyle w:val="TableGrid"/>
        <w:tblW w:type="auto" w:w="0"/>
        <w:jc w:val="center"/>
        <w:tblLook w:firstColumn="1" w:firstRow="1" w:lastColumn="0" w:lastRow="0" w:noHBand="0" w:noVBand="1" w:val="04A0"/>
      </w:tblPr>
      <w:tblGrid>
        <w:gridCol w:w="4320"/>
        <w:gridCol w:w="4320"/>
      </w:tblGrid>
      <w:tr>
        <w:tc>
          <w:tcPr>
            <w:tcW w:type="dxa" w:w="1134"/>
          </w:tcPr>
          <w:p>
            <w:r/>
            <w:r>
              <w:rPr>
                <w:b/>
              </w:rPr>
              <w:t>Slide</w:t>
            </w:r>
          </w:p>
        </w:tc>
        <w:tc>
          <w:tcPr>
            <w:tcW w:type="dxa" w:w="8220"/>
          </w:tcPr>
          <w:p>
            <w:r/>
            <w:r>
              <w:rPr>
                <w:b/>
              </w:rPr>
              <w:t>Script</w:t>
            </w:r>
          </w:p>
        </w:tc>
      </w:tr>
      <w:tr>
        <w:tc>
          <w:tcPr>
            <w:tcW w:type="dxa" w:w="1134"/>
          </w:tcPr>
          <w:p>
            <w:pPr>
              <w:jc w:val="center"/>
            </w:pPr>
            <w:r>
              <w:t>1</w:t>
            </w:r>
          </w:p>
        </w:tc>
        <w:tc>
          <w:tcPr>
            <w:tcW w:type="dxa" w:w="8220"/>
          </w:tcPr>
          <w:p>
            <w:pPr>
              <w:spacing w:after="80"/>
            </w:pPr>
            <w:r/>
            <w:r>
              <w:t>Good morning. We are Md Wahiduzzaman Suva and Esme Moula Chowdhury Abha, and our supervisor is Dr. Muhammad Hasibur Rashid Chayon.</w:t>
            </w:r>
          </w:p>
          <w:p>
            <w:pPr>
              <w:spacing w:after="80"/>
            </w:pPr>
            <w:r>
              <w:t>Our project is CALM-Net. Today we present our midterm progress on label-free covariance alignment for longitudinal EEG decoding.</w:t>
            </w:r>
          </w:p>
        </w:tc>
      </w:tr>
      <w:tr>
        <w:tc>
          <w:tcPr>
            <w:tcW w:type="dxa" w:w="1134"/>
          </w:tcPr>
          <w:p>
            <w:pPr>
              <w:jc w:val="center"/>
            </w:pPr>
            <w:r>
              <w:t>2</w:t>
            </w:r>
          </w:p>
        </w:tc>
        <w:tc>
          <w:tcPr>
            <w:tcW w:type="dxa" w:w="8220"/>
          </w:tcPr>
          <w:p>
            <w:pPr>
              <w:spacing w:after="80"/>
            </w:pPr>
            <w:r/>
            <w:r>
              <w:t>Lower-limb exoskeletons controlled by EEG can help people with spinal cord injury or stroke walk again. EEG is non-invasive, so it requires no surgery.</w:t>
            </w:r>
          </w:p>
          <w:p>
            <w:pPr>
              <w:spacing w:after="80"/>
            </w:pPr>
            <w:r>
              <w:t>In practice, a decoder is trained once but must keep working across sessions recorded over several weeks. Between sessions, electrode placement and impedance change, and this alters the statistics of the EEG signal that the decoder was trained on.</w:t>
            </w:r>
          </w:p>
          <w:p>
            <w:pPr>
              <w:spacing w:after="80"/>
            </w:pPr>
            <w:r>
              <w:t>In this work, we propose a compact decoder that adapts to each new session without labels, and we evaluate it on three EEG datasets.</w:t>
            </w:r>
          </w:p>
        </w:tc>
      </w:tr>
      <w:tr>
        <w:tc>
          <w:tcPr>
            <w:tcW w:type="dxa" w:w="1134"/>
          </w:tcPr>
          <w:p>
            <w:pPr>
              <w:jc w:val="center"/>
            </w:pPr>
            <w:r>
              <w:t>3</w:t>
            </w:r>
          </w:p>
        </w:tc>
        <w:tc>
          <w:tcPr>
            <w:tcW w:type="dxa" w:w="8220"/>
          </w:tcPr>
          <w:p>
            <w:pPr>
              <w:spacing w:after="80"/>
            </w:pPr>
            <w:r/>
            <w:r>
              <w:t>We address three challenges.</w:t>
            </w:r>
          </w:p>
          <w:p>
            <w:pPr>
              <w:spacing w:after="80"/>
            </w:pPr>
            <w:r>
              <w:t>The first is session drift: the signal statistics shift from one session to the next.</w:t>
            </w:r>
          </w:p>
          <w:p>
            <w:pPr>
              <w:spacing w:after="80"/>
            </w:pPr>
            <w:r>
              <w:t>The second is movement artefact: walking produces motion and muscle activity that can appear in the EEG recording.</w:t>
            </w:r>
          </w:p>
          <w:p>
            <w:pPr>
              <w:spacing w:after="80"/>
            </w:pPr>
            <w:r>
              <w:t>The third is reliable decisions: exoskeleton control needs consistent accuracy across sessions and well-calibrated confidence.</w:t>
            </w:r>
          </w:p>
        </w:tc>
      </w:tr>
      <w:tr>
        <w:tc>
          <w:tcPr>
            <w:tcW w:type="dxa" w:w="1134"/>
          </w:tcPr>
          <w:p>
            <w:pPr>
              <w:jc w:val="center"/>
            </w:pPr>
            <w:r>
              <w:t>4</w:t>
            </w:r>
          </w:p>
        </w:tc>
        <w:tc>
          <w:tcPr>
            <w:tcW w:type="dxa" w:w="8220"/>
          </w:tcPr>
          <w:p>
            <w:pPr>
              <w:spacing w:after="80"/>
            </w:pPr>
            <w:r/>
            <w:r>
              <w:t>Our first objective is an adaptive alignment layer that corrects session drift without labels, both during training and at test time.</w:t>
            </w:r>
          </w:p>
          <w:p>
            <w:pPr>
              <w:spacing w:after="80"/>
            </w:pPr>
            <w:r>
              <w:t>The second is accurate and calibrated decoding, with accuracy comparable to published decoders from a compact model.</w:t>
            </w:r>
          </w:p>
          <w:p>
            <w:pPr>
              <w:spacing w:after="80"/>
            </w:pPr>
            <w:r>
              <w:t>The third is a design rule, read from the recording protocol, that sets how fast the alignment layer should adapt.</w:t>
            </w:r>
          </w:p>
          <w:p>
            <w:pPr>
              <w:spacing w:after="80"/>
            </w:pPr>
            <w:r>
              <w:t>Together these answer our research question: can a compact decoder adapt to session drift without labels while remaining accurate and reliable?</w:t>
            </w:r>
          </w:p>
        </w:tc>
      </w:tr>
      <w:tr>
        <w:tc>
          <w:tcPr>
            <w:tcW w:type="dxa" w:w="1134"/>
          </w:tcPr>
          <w:p>
            <w:pPr>
              <w:jc w:val="center"/>
            </w:pPr>
            <w:r>
              <w:t>5</w:t>
            </w:r>
          </w:p>
        </w:tc>
        <w:tc>
          <w:tcPr>
            <w:tcW w:type="dxa" w:w="8220"/>
          </w:tcPr>
          <w:p>
            <w:pPr>
              <w:spacing w:after="80"/>
            </w:pPr>
            <w:r/>
            <w:r>
              <w:t>We reviewed four areas of related work.</w:t>
            </w:r>
          </w:p>
          <w:p>
            <w:pPr>
              <w:spacing w:after="80"/>
            </w:pPr>
            <w:r>
              <w:t>In exoskeleton BCI, recent work includes the NeuroRex longitudinal dataset, deep-learning control of lower-limb exoskeletons, error-related potentials, and robot-assisted gait.</w:t>
            </w:r>
          </w:p>
          <w:p>
            <w:pPr>
              <w:spacing w:after="80"/>
            </w:pPr>
            <w:r>
              <w:t>For EEG decoding, EEGNet, ShallowFBCSPNet and EEG Conformer are widely used models.</w:t>
            </w:r>
          </w:p>
          <w:p>
            <w:pPr>
              <w:spacing w:after="80"/>
            </w:pPr>
            <w:r>
              <w:t>For domain alignment, Euclidean alignment and Riemannian Procrustes analysis align covariance matrices across sessions and subjects.</w:t>
            </w:r>
          </w:p>
          <w:p>
            <w:pPr>
              <w:spacing w:after="80"/>
            </w:pPr>
            <w:r>
              <w:t>For test-time adaptation, methods such as Tent and NOTE update models on unlabelled test data.</w:t>
            </w:r>
          </w:p>
          <w:p>
            <w:pPr>
              <w:spacing w:after="80"/>
            </w:pPr>
            <w:r>
              <w:t>The research gap is that existing alignment methods operate offline on complete recordings. Our work places alignment inside the network, adapts it online without labels, and provides a rule for choosing its adaptation rate.</w:t>
            </w:r>
          </w:p>
        </w:tc>
      </w:tr>
      <w:tr>
        <w:tc>
          <w:tcPr>
            <w:tcW w:type="dxa" w:w="1134"/>
          </w:tcPr>
          <w:p>
            <w:pPr>
              <w:jc w:val="center"/>
            </w:pPr>
            <w:r>
              <w:t>6</w:t>
            </w:r>
          </w:p>
        </w:tc>
        <w:tc>
          <w:tcPr>
            <w:tcW w:type="dxa" w:w="8220"/>
          </w:tcPr>
          <w:p>
            <w:pPr>
              <w:spacing w:after="80"/>
            </w:pPr>
            <w:r/>
            <w:r>
              <w:t>This is our proposed decoder. The input is 60 channels of EEG in four-second windows at 100 Hz.</w:t>
            </w:r>
          </w:p>
          <w:p>
            <w:pPr>
              <w:spacing w:after="80"/>
            </w:pPr>
            <w:r>
              <w:t>The first block is adaptive alignment. The layer keeps a running estimate of the covariance matrix M and whitens each window by M to the power of minus one half. A learned gate g combines the aligned and the original signal. The estimate updates without labels, including during inference.</w:t>
            </w:r>
          </w:p>
          <w:p>
            <w:pPr>
              <w:spacing w:after="80"/>
            </w:pPr>
            <w:r>
              <w:t>The second block is a multi-scale power stem. Temporal convolutions at 64, 128 and 256 milliseconds are followed by depthwise spatial filters, then squaring, pooling and a logarithm, which produces band-power features.</w:t>
            </w:r>
          </w:p>
          <w:p>
            <w:pPr>
              <w:spacing w:after="80"/>
            </w:pPr>
            <w:r>
              <w:t>An optional context module, a transformer over eight consecutive windows, can use longer temporal context.</w:t>
            </w:r>
          </w:p>
          <w:p>
            <w:pPr>
              <w:spacing w:after="80"/>
            </w:pPr>
            <w:r>
              <w:t>Finally, the selective head outputs the walk or stop decision with its confidence.</w:t>
            </w:r>
          </w:p>
          <w:p>
            <w:pPr>
              <w:spacing w:after="80"/>
            </w:pPr>
            <w:r>
              <w:t>The default configuration has 24,181 parameters.</w:t>
            </w:r>
          </w:p>
        </w:tc>
      </w:tr>
      <w:tr>
        <w:tc>
          <w:tcPr>
            <w:tcW w:type="dxa" w:w="1134"/>
          </w:tcPr>
          <w:p>
            <w:pPr>
              <w:jc w:val="center"/>
            </w:pPr>
            <w:r>
              <w:t>7</w:t>
            </w:r>
          </w:p>
        </w:tc>
        <w:tc>
          <w:tcPr>
            <w:tcW w:type="dxa" w:w="8220"/>
          </w:tcPr>
          <w:p>
            <w:pPr>
              <w:spacing w:after="80"/>
            </w:pPr>
            <w:r/>
            <w:r>
              <w:t>The alignment layer maintains an exponential moving average of the spatial covariance of incoming windows.</w:t>
            </w:r>
          </w:p>
          <w:p>
            <w:pPr>
              <w:spacing w:after="80"/>
            </w:pPr>
            <w:r>
              <w:t>Each window is multiplied by the inverse square root of that estimate before feature extraction, which removes session-level differences in the covariance.</w:t>
            </w:r>
          </w:p>
          <w:p>
            <w:pPr>
              <w:spacing w:after="80"/>
            </w:pPr>
            <w:r>
              <w:t>Because the update needs no labels, the estimate keeps adapting when a new session begins.</w:t>
            </w:r>
          </w:p>
          <w:p>
            <w:pPr>
              <w:spacing w:after="80"/>
            </w:pPr>
            <w:r>
              <w:t>The adaptation rate sets how many windows the estimate remembers. Our rule is that this memory should be longer than the length of a single-class block in the recording protocol, so the estimate reflects the session and not the class being performed.</w:t>
            </w:r>
          </w:p>
          <w:p>
            <w:pPr>
              <w:spacing w:after="80"/>
            </w:pPr>
            <w:r>
              <w:t>The key idea is that session drift is corrected inside the network, and the recording protocol determines the adaptation rate before training.</w:t>
            </w:r>
          </w:p>
        </w:tc>
      </w:tr>
      <w:tr>
        <w:tc>
          <w:tcPr>
            <w:tcW w:type="dxa" w:w="1134"/>
          </w:tcPr>
          <w:p>
            <w:pPr>
              <w:jc w:val="center"/>
            </w:pPr>
            <w:r>
              <w:t>8</w:t>
            </w:r>
          </w:p>
        </w:tc>
        <w:tc>
          <w:tcPr>
            <w:tcW w:type="dxa" w:w="8220"/>
          </w:tcPr>
          <w:p>
            <w:pPr>
              <w:spacing w:after="80"/>
            </w:pPr>
            <w:r/>
            <w:r>
              <w:t>We use three datasets.</w:t>
            </w:r>
          </w:p>
          <w:p>
            <w:pPr>
              <w:spacing w:after="80"/>
            </w:pPr>
            <w:r>
              <w:t>Cohort A is an exoskeleton dataset with 7 participants and 9 sessions over several weeks. We train on sessions 1 to 3 and test on sessions 4 to 9.</w:t>
            </w:r>
          </w:p>
          <w:p>
            <w:pPr>
              <w:spacing w:after="80"/>
            </w:pPr>
            <w:r>
              <w:t>Cohort B is a treadmill walking dataset with 8 participants, recorded in an independent laboratory.</w:t>
            </w:r>
          </w:p>
          <w:p>
            <w:pPr>
              <w:spacing w:after="80"/>
            </w:pPr>
            <w:r>
              <w:t>Cohort C is the PhysioNet motor execution dataset with 20 participants. For this cohort, we registered our analysis plan before training any model.</w:t>
            </w:r>
          </w:p>
          <w:p>
            <w:pPr>
              <w:spacing w:after="80"/>
            </w:pPr>
            <w:r>
              <w:t>All models use the same protocol: 8 to 30 Hz filtering, AdamW optimisation with early stopping, and three data-split seeds. Seven published decoders were trained with identical settings for comparison.</w:t>
            </w:r>
          </w:p>
        </w:tc>
      </w:tr>
      <w:tr>
        <w:tc>
          <w:tcPr>
            <w:tcW w:type="dxa" w:w="1134"/>
          </w:tcPr>
          <w:p>
            <w:pPr>
              <w:jc w:val="center"/>
            </w:pPr>
            <w:r>
              <w:t>9</w:t>
            </w:r>
          </w:p>
        </w:tc>
        <w:tc>
          <w:tcPr>
            <w:tcW w:type="dxa" w:w="8220"/>
          </w:tcPr>
          <w:p>
            <w:pPr>
              <w:spacing w:after="80"/>
            </w:pPr>
            <w:r/>
            <w:r>
              <w:t>First, we measured how much session drift the alignment layer removes. The bars show the Riemannian distance between the training-session covariance and each test session.</w:t>
            </w:r>
          </w:p>
          <w:p>
            <w:pPr>
              <w:spacing w:after="80"/>
            </w:pPr>
            <w:r>
              <w:t>Orange is the raw signal, grey is a control that never updates its estimate, and black is the aligned signal.</w:t>
            </w:r>
          </w:p>
          <w:p>
            <w:pPr>
              <w:spacing w:after="80"/>
            </w:pPr>
            <w:r>
              <w:t>Alignment reduces the distance by 45.9 percent on cohort A and 62.5 percent on cohort B, and the reduction appears in all 15 participants. The control leaves the distance unchanged, which shows that the reduction comes from adaptation.</w:t>
            </w:r>
          </w:p>
        </w:tc>
      </w:tr>
      <w:tr>
        <w:tc>
          <w:tcPr>
            <w:tcW w:type="dxa" w:w="1134"/>
          </w:tcPr>
          <w:p>
            <w:pPr>
              <w:jc w:val="center"/>
            </w:pPr>
            <w:r>
              <w:t>10</w:t>
            </w:r>
          </w:p>
        </w:tc>
        <w:tc>
          <w:tcPr>
            <w:tcW w:type="dxa" w:w="8220"/>
          </w:tcPr>
          <w:p>
            <w:pPr>
              <w:spacing w:after="80"/>
            </w:pPr>
            <w:r/>
            <w:r>
              <w:t>This table gives the values for every participant.</w:t>
            </w:r>
          </w:p>
          <w:p>
            <w:pPr>
              <w:spacing w:after="80"/>
            </w:pPr>
            <w:r>
              <w:t>On cohort A, the reduction ranges from 38.7 to 51.2 percent, and on cohort B from 43.8 to 82.1 percent.</w:t>
            </w:r>
          </w:p>
        </w:tc>
      </w:tr>
      <w:tr>
        <w:tc>
          <w:tcPr>
            <w:tcW w:type="dxa" w:w="1134"/>
          </w:tcPr>
          <w:p>
            <w:pPr>
              <w:jc w:val="center"/>
            </w:pPr>
            <w:r>
              <w:t>11</w:t>
            </w:r>
          </w:p>
        </w:tc>
        <w:tc>
          <w:tcPr>
            <w:tcW w:type="dxa" w:w="8220"/>
          </w:tcPr>
          <w:p>
            <w:pPr>
              <w:spacing w:after="80"/>
            </w:pPr>
            <w:r/>
            <w:r>
              <w:t>Here we compare our decoder with published models, all trained in the same pipeline and averaged over three data-split seeds.</w:t>
            </w:r>
          </w:p>
          <w:p>
            <w:pPr>
              <w:spacing w:after="80"/>
            </w:pPr>
            <w:r>
              <w:t>On cohort A, our decoder reaches 0.868 balanced accuracy, comparable to the best baseline at 0.876, and it uses fewer parameters than six of the seven baselines.</w:t>
            </w:r>
          </w:p>
          <w:p>
            <w:pPr>
              <w:spacing w:after="80"/>
            </w:pPr>
            <w:r>
              <w:t>On cohort C, our decoder has the highest accuracy, 0.796.</w:t>
            </w:r>
          </w:p>
          <w:p>
            <w:pPr>
              <w:spacing w:after="80"/>
            </w:pPr>
            <w:r>
              <w:t>On cohort B, the protocol rule selects the configuration without alignment, which reaches 0.729, second of the eight models.</w:t>
            </w:r>
          </w:p>
          <w:p>
            <w:pPr>
              <w:spacing w:after="80"/>
            </w:pPr>
            <w:r>
              <w:t>Calibration error also stays low, 0.058 on cohort A and 0.061 on cohort C.</w:t>
            </w:r>
          </w:p>
        </w:tc>
      </w:tr>
      <w:tr>
        <w:tc>
          <w:tcPr>
            <w:tcW w:type="dxa" w:w="1134"/>
          </w:tcPr>
          <w:p>
            <w:pPr>
              <w:jc w:val="center"/>
            </w:pPr>
            <w:r>
              <w:t>12</w:t>
            </w:r>
          </w:p>
        </w:tc>
        <w:tc>
          <w:tcPr>
            <w:tcW w:type="dxa" w:w="8220"/>
          </w:tcPr>
          <w:p>
            <w:pPr>
              <w:spacing w:after="80"/>
            </w:pPr>
            <w:r/>
            <w:r>
              <w:t>This figure shows why the adaptation rate matters. The top row traces the alignment estimate during a recording, and the bottom row shows its distance to the walk and stop covariances.</w:t>
            </w:r>
          </w:p>
          <w:p>
            <w:pPr>
              <w:spacing w:after="80"/>
            </w:pPr>
            <w:r>
              <w:t>On cohort A, where class blocks are short, the estimate stays between the two classes.</w:t>
            </w:r>
          </w:p>
          <w:p>
            <w:pPr>
              <w:spacing w:after="80"/>
            </w:pPr>
            <w:r>
              <w:t>On cohort B, where class blocks are long, a fast estimate follows the class currently being performed. This is exactly the situation our adaptation rate rule is designed to detect.</w:t>
            </w:r>
          </w:p>
        </w:tc>
      </w:tr>
      <w:tr>
        <w:tc>
          <w:tcPr>
            <w:tcW w:type="dxa" w:w="1134"/>
          </w:tcPr>
          <w:p>
            <w:pPr>
              <w:jc w:val="center"/>
            </w:pPr>
            <w:r>
              <w:t>13</w:t>
            </w:r>
          </w:p>
        </w:tc>
        <w:tc>
          <w:tcPr>
            <w:tcW w:type="dxa" w:w="8220"/>
          </w:tcPr>
          <w:p>
            <w:pPr>
              <w:spacing w:after="80"/>
            </w:pPr>
            <w:r/>
            <w:r>
              <w:t>We tested the rule on cohort B by changing the adaptation rate.</w:t>
            </w:r>
          </w:p>
          <w:p>
            <w:pPr>
              <w:spacing w:after="80"/>
            </w:pPr>
            <w:r>
              <w:t>As the estimator memory increases from 160 to 3200 windows, accuracy rises from 0.580 to 0.698, as the rule predicts.</w:t>
            </w:r>
          </w:p>
          <w:p>
            <w:pPr>
              <w:spacing w:after="80"/>
            </w:pPr>
            <w:r>
              <w:t>Because cohort B has class blocks longer than the default memory, the rule selects the configuration without alignment, which reaches 0.729.</w:t>
            </w:r>
          </w:p>
        </w:tc>
      </w:tr>
      <w:tr>
        <w:tc>
          <w:tcPr>
            <w:tcW w:type="dxa" w:w="1134"/>
          </w:tcPr>
          <w:p>
            <w:pPr>
              <w:jc w:val="center"/>
            </w:pPr>
            <w:r>
              <w:t>14</w:t>
            </w:r>
          </w:p>
        </w:tc>
        <w:tc>
          <w:tcPr>
            <w:tcW w:type="dxa" w:w="8220"/>
          </w:tcPr>
          <w:p>
            <w:pPr>
              <w:spacing w:after="80"/>
            </w:pPr>
            <w:r/>
            <w:r>
              <w:t>To test the rule in advance, we registered two predictions for cohort C before training any model on it.</w:t>
            </w:r>
          </w:p>
          <w:p>
            <w:pPr>
              <w:spacing w:after="80"/>
            </w:pPr>
            <w:r>
              <w:t>The first prediction was that enabling alignment would not reduce accuracy. The second was that a slower adaptation rate would bring no change, because cohort C has short class blocks.</w:t>
            </w:r>
          </w:p>
          <w:p>
            <w:pPr>
              <w:spacing w:after="80"/>
            </w:pPr>
            <w:r>
              <w:t>Both predictions were confirmed: accuracy changed by plus 0.002 with alignment, and the slower rate made no meaningful difference. Two additional data-split seeds support the same conclusions.</w:t>
            </w:r>
          </w:p>
        </w:tc>
      </w:tr>
      <w:tr>
        <w:tc>
          <w:tcPr>
            <w:tcW w:type="dxa" w:w="1134"/>
          </w:tcPr>
          <w:p>
            <w:pPr>
              <w:jc w:val="center"/>
            </w:pPr>
            <w:r>
              <w:t>15</w:t>
            </w:r>
          </w:p>
        </w:tc>
        <w:tc>
          <w:tcPr>
            <w:tcW w:type="dxa" w:w="8220"/>
          </w:tcPr>
          <w:p>
            <w:pPr>
              <w:spacing w:after="80"/>
            </w:pPr>
            <w:r/>
            <w:r>
              <w:t>The ablation study on cohort A shows the contribution of each component, averaged over three seeds.</w:t>
            </w:r>
          </w:p>
          <w:p>
            <w:pPr>
              <w:spacing w:after="80"/>
            </w:pPr>
            <w:r>
              <w:t>Adding the alignment layer raises balanced accuracy from 0.842 with the gate alone to 0.868.</w:t>
            </w:r>
          </w:p>
          <w:p>
            <w:pPr>
              <w:spacing w:after="80"/>
            </w:pPr>
            <w:r>
              <w:t>The cross-epoch context module reduces spurious activations from 1.60 to 1.16 per minute of standing, which is valuable for safe exoskeleton control.</w:t>
            </w:r>
          </w:p>
        </w:tc>
      </w:tr>
      <w:tr>
        <w:tc>
          <w:tcPr>
            <w:tcW w:type="dxa" w:w="1134"/>
          </w:tcPr>
          <w:p>
            <w:pPr>
              <w:jc w:val="center"/>
            </w:pPr>
            <w:r>
              <w:t>16</w:t>
            </w:r>
          </w:p>
        </w:tc>
        <w:tc>
          <w:tcPr>
            <w:tcW w:type="dxa" w:w="8220"/>
          </w:tcPr>
          <w:p>
            <w:pPr>
              <w:spacing w:after="80"/>
            </w:pPr>
            <w:r/>
            <w:r>
              <w:t>Because walking can introduce artefacts, we retrained the decoder after removing non-neural components with independent component analysis and ICLabel.</w:t>
            </w:r>
          </w:p>
          <w:p>
            <w:pPr>
              <w:spacing w:after="80"/>
            </w:pPr>
            <w:r>
              <w:t>After cleaning, mean balanced accuracy is 0.785, well above chance, and the change for each participant does not follow the number of muscle components removed.</w:t>
            </w:r>
          </w:p>
          <w:p>
            <w:pPr>
              <w:spacing w:after="80"/>
            </w:pPr>
            <w:r>
              <w:t>These results are consistent with the decoder using neural EEG activity.</w:t>
            </w:r>
          </w:p>
        </w:tc>
      </w:tr>
      <w:tr>
        <w:tc>
          <w:tcPr>
            <w:tcW w:type="dxa" w:w="1134"/>
          </w:tcPr>
          <w:p>
            <w:pPr>
              <w:jc w:val="center"/>
            </w:pPr>
            <w:r>
              <w:t>17</w:t>
            </w:r>
          </w:p>
        </w:tc>
        <w:tc>
          <w:tcPr>
            <w:tcW w:type="dxa" w:w="8220"/>
          </w:tcPr>
          <w:p>
            <w:pPr>
              <w:spacing w:after="80"/>
            </w:pPr>
            <w:r/>
            <w:r>
              <w:t>This topography shows one participant. The right panel compares 8 to 30 Hz power during walking and standing.</w:t>
            </w:r>
          </w:p>
          <w:p>
            <w:pPr>
              <w:spacing w:after="80"/>
            </w:pPr>
            <w:r>
              <w:t>Power decreases over sensorimotor electrodes during walking, which is consistent with mu and beta desynchronisation during movement.</w:t>
            </w:r>
          </w:p>
        </w:tc>
      </w:tr>
      <w:tr>
        <w:tc>
          <w:tcPr>
            <w:tcW w:type="dxa" w:w="1134"/>
          </w:tcPr>
          <w:p>
            <w:pPr>
              <w:jc w:val="center"/>
            </w:pPr>
            <w:r>
              <w:t>18</w:t>
            </w:r>
          </w:p>
        </w:tc>
        <w:tc>
          <w:tcPr>
            <w:tcW w:type="dxa" w:w="8220"/>
          </w:tcPr>
          <w:p>
            <w:pPr>
              <w:spacing w:after="80"/>
            </w:pPr>
            <w:r/>
            <w:r>
              <w:t>Our current work has some limitations.</w:t>
            </w:r>
          </w:p>
          <w:p>
            <w:pPr>
              <w:spacing w:after="80"/>
            </w:pPr>
            <w:r>
              <w:t>The datasets include 7, 8 and 20 participants. All results come from recorded datasets, and closed-loop testing is planned. The architecture is still under development, and we will evaluate further variants. The adaptation rate is currently set by a rule and could be learned from data.</w:t>
            </w:r>
          </w:p>
          <w:p>
            <w:pPr>
              <w:spacing w:after="80"/>
            </w:pPr>
            <w:r>
              <w:t>In future work, we plan real-time evaluation with an exoskeleton, larger cohorts, and recording protocols designed to refine the adaptation rate rule.</w:t>
            </w:r>
          </w:p>
        </w:tc>
      </w:tr>
      <w:tr>
        <w:tc>
          <w:tcPr>
            <w:tcW w:type="dxa" w:w="1134"/>
          </w:tcPr>
          <w:p>
            <w:pPr>
              <w:jc w:val="center"/>
            </w:pPr>
            <w:r>
              <w:t>19</w:t>
            </w:r>
          </w:p>
        </w:tc>
        <w:tc>
          <w:tcPr>
            <w:tcW w:type="dxa" w:w="8220"/>
          </w:tcPr>
          <w:p>
            <w:pPr>
              <w:spacing w:after="80"/>
            </w:pPr>
            <w:r/>
            <w:r>
              <w:t>To conclude, we presented a compact EEG decoder with an adaptive alignment layer that corrects session drift without labels.</w:t>
            </w:r>
          </w:p>
          <w:p>
            <w:pPr>
              <w:spacing w:after="80"/>
            </w:pPr>
            <w:r>
              <w:t>The decoder reduces session drift by 46 to 63 percent, achieves accuracy comparable to published decoders, and follows a protocol-based rule that was confirmed prospectively.</w:t>
            </w:r>
          </w:p>
          <w:p>
            <w:pPr>
              <w:spacing w:after="80"/>
            </w:pPr>
            <w:r>
              <w:t>This approach supports longitudinal use of EEG-controlled exoskeletons with less recalibration.</w:t>
            </w:r>
          </w:p>
        </w:tc>
      </w:tr>
      <w:tr>
        <w:tc>
          <w:tcPr>
            <w:tcW w:type="dxa" w:w="1134"/>
          </w:tcPr>
          <w:p>
            <w:pPr>
              <w:jc w:val="center"/>
            </w:pPr>
            <w:r>
              <w:t>20</w:t>
            </w:r>
          </w:p>
        </w:tc>
        <w:tc>
          <w:tcPr>
            <w:tcW w:type="dxa" w:w="8220"/>
          </w:tcPr>
          <w:p>
            <w:pPr>
              <w:spacing w:after="80"/>
            </w:pPr>
            <w:r/>
            <w:r>
              <w:t>These are the works we cited. Thank you for your attention. We are happy to take your questions.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