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rPr>
        <w:t>To the Editor-in-Chief</w:t>
      </w:r>
    </w:p>
    <w:p>
      <w:pPr>
        <w:spacing w:after="280"/>
      </w:pPr>
      <w:r>
        <w:rPr>
          <w:b w:val="0"/>
        </w:rPr>
        <w:t>Applied Soft Computing</w:t>
      </w:r>
    </w:p>
    <w:p>
      <w:pPr>
        <w:spacing w:after="280"/>
      </w:pPr>
      <w:r>
        <w:rPr>
          <w:b/>
        </w:rPr>
        <w:t>Re: Submission of “Label-free covariance alignment for longitudinal EEG decoding”</w:t>
      </w:r>
    </w:p>
    <w:p>
      <w:r>
        <w:rPr>
          <w:b w:val="0"/>
        </w:rPr>
        <w:t>Dear Editor,</w:t>
      </w:r>
    </w:p>
    <w:p>
      <w:r>
        <w:rPr>
          <w:b w:val="0"/>
        </w:rPr>
        <w:t>We submit the above manuscript for consideration as an original research article in Applied Soft Computing.</w:t>
      </w:r>
    </w:p>
    <w:p>
      <w:r>
        <w:rPr>
          <w:b w:val="0"/>
        </w:rPr>
        <w:t>A brain–computer interface that drives a powered lower-limb exoskeleton is fitted once and must keep working for weeks, while electrode impedance, montage and skin contact alter the second-order statistics that every spatial filter depends on. Correcting that shift inside the network, by re-estimating the input covariance at inference and whitening by it without labels, removes the need for a per-session calibration block. We show that this design works, characterise a failure mode it carries that its offline counterpart cannot, and give a check that predicts which of the two regimes a given recording protocol falls into before any model is trained.</w:t>
      </w:r>
    </w:p>
    <w:p>
      <w:r>
        <w:rPr>
          <w:b w:val="0"/>
        </w:rPr>
        <w:t>The manuscript reports three results. First, a 24,181-parameter decoder reaches 0.901 balanced accuracy with an expected calibration error of 0.039 on a seven-participant, nine-session exoskeleton cohort recorded across weeks, at 53% of the parameters of the strongest baseline evaluated in the same pipeline. Second, the alignment layer reduces session-to-session covariance distance by 52.0 ± 4.5% and 83.9 ± 3.9% on two independent cohorts, in 15 of 15 participants (p ≤ 10⁻⁴), against a control that shares every code path but never updates its estimate. Third, a running covariance estimate tracks whichever class is currently streaming; where a protocol presents classes in blocks longer than the estimator’s memory, the layer whitens away the signal it was inserted to protect. The admissible adaptation rate is therefore bounded below by the class-block timescale and above by the drift timescale, and both bounds are properties of the experimental design rather than of the model.</w:t>
      </w:r>
    </w:p>
    <w:p>
      <w:r>
        <w:rPr>
          <w:b w:val="0"/>
        </w:rPr>
        <w:t>We draw the editor’s attention to two aspects of the work. Evaluation is external: the second cohort was recorded in an independent laboratory, with different sensors, a different task framing and reversed class balance. The decoder transfers, reaching 0.792 there, while the alignment layer does not, and the manuscript reports that inversion in full rather than confining itself to the cohort on which the layer succeeds. We also report a component that did not work: the trained selective head lowers balanced accuracy on retained windows in 14 of the 18 arms measured, and we present this as a negative result rather than as a feature of the architecture.</w:t>
      </w:r>
    </w:p>
    <w:p>
      <w:r>
        <w:rPr>
          <w:b w:val="0"/>
        </w:rPr>
        <w:t>The work suits Applied Soft Computing in combining a compact neural architecture for a physiological control problem with an analysis of when a widely used adaptation technique is applicable. Its practical contribution is a design-time check that requires no training run.</w:t>
      </w:r>
    </w:p>
    <w:p>
      <w:r>
        <w:rPr>
          <w:b w:val="0"/>
        </w:rPr>
        <w:t>The manuscript is original, has not been published previously, and is not under consideration elsewhere. All authors have approved the submission and declare no competing financial or personal interests. The data supporting the primary cohort are publicly available (OpenNeuro ds007788).</w:t>
      </w:r>
    </w:p>
    <w:p>
      <w:r>
        <w:rPr>
          <w:b w:val="0"/>
        </w:rPr>
        <w:t>Thank you for considering our submission.</w:t>
      </w:r>
    </w:p>
    <w:p>
      <w:pPr>
        <w:spacing w:after="520"/>
      </w:pPr>
      <w:r>
        <w:rPr>
          <w:b w:val="0"/>
        </w:rPr>
        <w:t>Yours sincerely,</w:t>
      </w:r>
    </w:p>
    <w:p>
      <w:pPr>
        <w:spacing w:after="0"/>
      </w:pPr>
      <w:r>
        <w:rPr>
          <w:b/>
        </w:rPr>
        <w:t>Md Wahiduzzaman Suva</w:t>
      </w:r>
    </w:p>
    <w:p>
      <w:pPr>
        <w:spacing w:after="0"/>
      </w:pPr>
      <w:r>
        <w:rPr>
          <w:b w:val="0"/>
        </w:rPr>
        <w:t>Department of Computer Science</w:t>
      </w:r>
    </w:p>
    <w:p>
      <w:pPr>
        <w:spacing w:after="0"/>
      </w:pPr>
      <w:r>
        <w:rPr>
          <w:b w:val="0"/>
        </w:rPr>
        <w:t>American International University-Bangladesh, Dhaka, Bangladesh</w:t>
      </w:r>
    </w:p>
    <w:p>
      <w:pPr>
        <w:spacing w:after="200"/>
      </w:pPr>
      <w:r>
        <w:rPr>
          <w:b w:val="0"/>
        </w:rPr>
        <w:t>26-94088-2@student.aiub.edu</w:t>
      </w:r>
    </w:p>
    <w:p>
      <w:r>
        <w:rPr>
          <w:i/>
        </w:rPr>
        <w:t>on behalf of Esm E Moula Chowdhury Abha and Dr. Muhammad Hasibur Rashid Chayon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