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r>
        <w:rPr>
          <w:b/>
        </w:rPr>
        <w:t>Label-free covariance alignment for longitudinal EEG decoding</w:t>
      </w:r>
    </w:p>
    <w:p>
      <w:pPr>
        <w:pStyle w:val="ListBullet"/>
      </w:pPr>
      <w:r>
        <w:t>A 24,181-parameter EEG decoder with label-free alignment that adapts at test time.</w:t>
      </w:r>
    </w:p>
    <w:p>
      <w:pPr>
        <w:pStyle w:val="ListBullet"/>
      </w:pPr>
      <w:r>
        <w:t>Accuracy is level with eight published decoders trained in the same pipeline.</w:t>
      </w:r>
    </w:p>
    <w:p>
      <w:pPr>
        <w:pStyle w:val="ListBullet"/>
      </w:pPr>
      <w:r>
        <w:t>In-network alignment reduces session drift by 46–63% in 15 of 15 subjects.</w:t>
      </w:r>
    </w:p>
    <w:p>
      <w:pPr>
        <w:pStyle w:val="ListBullet"/>
      </w:pPr>
      <w:r>
        <w:t>Test-time adaptation can track the streaming class and erase the signal it protects.</w:t>
      </w:r>
    </w:p>
    <w:p>
      <w:pPr>
        <w:pStyle w:val="ListBullet"/>
      </w:pPr>
      <w:r>
        <w:t>A lower bound on adaptation rate, read from the protocol, predicted a new cohort.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