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>Android图片轮播控件</w:t>
      </w:r>
      <w:r>
        <w:rPr>
          <w:rFonts w:hint="eastAsia"/>
          <w:sz w:val="32"/>
          <w:szCs w:val="32"/>
          <w:lang w:val="en-US" w:eastAsia="zh-CN"/>
        </w:rPr>
        <w:t>Banner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网址：https://github.com/youth5201314/banner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Banner使用方法：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1.导依赖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compile 'com.youth.banner:banner:1.4.9'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2.布局添加控件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&lt;com.youth.banner.Banner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android:id="@+id/banner"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android:layout_width="match_parent"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android:layout_height="180dp"/&gt;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3.代码实现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banner.setImages(imaglist)//添加图片集合或图片url集合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.setDelayTime(2000)//设置轮播时间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.setBannerStyle(BannerConfig.CIRCLE_INDICATOR)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.setImageLoader(new GlideImage())//加载图片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.setIndicatorGravity(BannerConfig.CENTER)//</w:t>
      </w:r>
      <w:bookmarkStart w:id="0" w:name="_GoBack"/>
      <w:r>
        <w:rPr>
          <w:rFonts w:hint="eastAsia"/>
          <w:sz w:val="15"/>
          <w:szCs w:val="15"/>
          <w:lang w:val="en-US" w:eastAsia="zh-CN"/>
        </w:rPr>
        <w:t>设置指示器位置</w:t>
      </w:r>
    </w:p>
    <w:bookmarkEnd w:id="0"/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.start();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class GlideImage extends ImageLoader {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@Override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public void displayImage(Context context, Object path, ImageView imageView) {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Glide.with(context.getApplicationContext()).load(path).into(imageView);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ind w:firstLine="360"/>
        <w:rPr>
          <w:rFonts w:hint="eastAsia"/>
          <w:sz w:val="15"/>
          <w:szCs w:val="15"/>
          <w:lang w:val="en-US" w:eastAsia="zh-CN"/>
        </w:rPr>
      </w:pPr>
    </w:p>
    <w:p>
      <w:pPr>
        <w:ind w:firstLine="36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sz w:val="18"/>
          <w:szCs w:val="18"/>
        </w:rPr>
        <w:t>Attributes属性（banner布局文件中调用）</w:t>
      </w:r>
    </w:p>
    <w:tbl>
      <w:tblPr>
        <w:tblStyle w:val="5"/>
        <w:tblW w:w="55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557"/>
        <w:gridCol w:w="3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Attributes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forma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describe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delay_time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integer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轮播间隔时间，默认2000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scroll_time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integer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轮播滑动执行时间，默认800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is_auto_play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boolean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是否自动轮播，默认true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title_background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color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reference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title_textcolor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color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标题字体颜色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title_textsize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dimension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标题字体大小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title_height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dimension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标题栏高度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indicator_width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dimension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指示器圆形按钮的宽度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indicator_height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dimension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指示器圆形按钮的高度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indicator_margin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dimension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指示器之间的间距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indicator_drawable_selected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reference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指示器选中效果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indicator_drawable_unselected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reference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指示器未选中效果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image_scale_type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enum</w:t>
            </w:r>
          </w:p>
        </w:tc>
        <w:tc>
          <w:tcPr>
            <w:tcW w:w="32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和imageview的ScaleType作用一样</w:t>
            </w:r>
          </w:p>
        </w:tc>
      </w:tr>
    </w:tbl>
    <w:p>
      <w:pPr>
        <w:ind w:firstLine="360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5.</w:t>
      </w:r>
      <w:r>
        <w:rPr>
          <w:sz w:val="18"/>
          <w:szCs w:val="18"/>
        </w:rPr>
        <w:t>方法</w:t>
      </w:r>
    </w:p>
    <w:tbl>
      <w:tblPr>
        <w:tblStyle w:val="5"/>
        <w:tblW w:w="795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3007"/>
        <w:gridCol w:w="2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方法名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描述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版本限制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setBannerStyle(int bannerStyle)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设置轮播样式（默认为CIRCLE_INDICATOR）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setIndicatorGravity(int type)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设置指示器位置（没有标题默认为右边,有标题时默认左边）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isAutoPlay(boolean isAutoPlay)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设置是否自动轮播（默认自动）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setViewPagerIsScroll(boolean isScroll)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设置是否允许手动滑动轮播图（默认true）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1.4.5开始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update(List&lt;?&gt; imageUrls,List titles)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更新图片和标题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1.4.5开始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update(List&lt;?&gt; imageUrls)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更新图片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1.4.5开始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 w:hRule="atLeast"/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startAutoPlay()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开始轮播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1.4开始，此方法只作用于banner加载完毕--&gt;需要在start()后执行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stopAutoPlay()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结束轮播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1.4开始，此方法只作用于banner加载完毕--&gt;需要在start()后执行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start()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开始进行banner渲染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setOffscreenPageLimit(int limit)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同viewpager的方法作用一样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1.4.2开始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setBannerTitle(String[] titles)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设置轮播要显示的标题和图片对应（如果不传默认不显示标题）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1.3.3结束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setBannerTitleList(List titles)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设置轮播要显示的标题和图片对应（如果不传默认不显示标题）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1.3.3结束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setBannerTitles(List titles)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设置轮播要显示的标题和图片对应（如果不传默认不显示标题）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setDelayTime(int time)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设置轮播图片间隔时间（单位毫秒，默认为2000）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setImages(Object[]/List&lt;?&gt; imagesUrl)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设置轮播图片(所有设置参数方法都放在此方法之前执行)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1.4后去掉数组传参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setImages(Object[]/List&lt;?&gt; imagesUrl,OnLoadImageListener listener)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设置轮播图片，并且自定义图片加载方式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1.3.3结束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setOnBannerClickListener(this)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设置点击事件，下标是从1开始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无（1.4.9以后废弃了）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setOnBannerListener(this)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设置点击事件，下标是从0开始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1.4.9以后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setOnLoadImageListener(this)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设置图片加载事件，可以自定义图片加载方式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1.3.3结束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setImageLoader(Object implements ImageLoader)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设置图片加载器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1.4开始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setOnPageChangeListener(this)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设置viewpager的滑动监听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setBannerAnimation(Class&lt;? extends PageTransformer&gt; transformer)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设置viewpager的默认动画,传值见动画表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setPageTransformer(boolean reverseDrawingOrder, ViewPager.PageTransformer transformer)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设置viewpager的自定义动画</w:t>
            </w:r>
          </w:p>
        </w:tc>
        <w:tc>
          <w:tcPr>
            <w:tcW w:w="26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rFonts w:hint="eastAsia"/>
          <w:sz w:val="18"/>
          <w:szCs w:val="18"/>
          <w:lang w:val="en-US" w:eastAsia="zh-CN"/>
        </w:rPr>
        <w:t>6</w:t>
      </w:r>
      <w:r>
        <w:rPr>
          <w:rFonts w:hint="eastAsia"/>
          <w:sz w:val="15"/>
          <w:szCs w:val="15"/>
          <w:lang w:val="en-US" w:eastAsia="zh-CN"/>
        </w:rPr>
        <w:t>.</w:t>
      </w:r>
      <w:r>
        <w:rPr>
          <w:sz w:val="15"/>
          <w:szCs w:val="15"/>
        </w:rPr>
        <w:t>常量</w:t>
      </w:r>
    </w:p>
    <w:tbl>
      <w:tblPr>
        <w:tblStyle w:val="5"/>
        <w:tblW w:w="600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7"/>
        <w:gridCol w:w="1822"/>
        <w:gridCol w:w="17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常量名称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描述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sz w:val="11"/>
                <w:szCs w:val="11"/>
              </w:rPr>
            </w:pPr>
            <w:r>
              <w:rPr>
                <w:rFonts w:ascii="宋体" w:hAnsi="宋体" w:eastAsia="宋体" w:cs="宋体"/>
                <w:b/>
                <w:kern w:val="0"/>
                <w:sz w:val="11"/>
                <w:szCs w:val="11"/>
                <w:lang w:val="en-US" w:eastAsia="zh-CN" w:bidi="ar"/>
              </w:rPr>
              <w:t>所属方法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BannerConfig.NOT_INDICATOR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不显示指示器和标题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BannerConfig.CIRCLE_INDICATOR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显示圆形指示器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BannerConfig.NUM_INDICATOR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显示数字指示器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BannerConfig.NUM_INDICATOR_TITLE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显示数字指示器和标题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BannerConfig.CIRCLE_INDICATOR_TITLE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显示圆形指示器和标题（垂直显示）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BannerConfig.CIRCLE_INDICATOR_TITLE_INSIDE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显示圆形指示器和标题（水平显示）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setBannerStyle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BannerConfig.LEFT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指示器居左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setIndicatorGravity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BannerConfig.CENTER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指示器居中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setIndicatorGravity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BannerConfig.RIGHT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指示器居右</w:t>
            </w:r>
          </w:p>
        </w:tc>
        <w:tc>
          <w:tcPr>
            <w:tcW w:w="1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1"/>
                <w:szCs w:val="11"/>
              </w:rPr>
            </w:pPr>
            <w:r>
              <w:rPr>
                <w:rFonts w:ascii="宋体" w:hAnsi="宋体" w:eastAsia="宋体" w:cs="宋体"/>
                <w:kern w:val="0"/>
                <w:sz w:val="11"/>
                <w:szCs w:val="11"/>
                <w:lang w:val="en-US" w:eastAsia="zh-CN" w:bidi="ar"/>
              </w:rPr>
              <w:t>setIndicatorGravity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52395"/>
    <w:rsid w:val="0FDA3E1C"/>
    <w:rsid w:val="121E5774"/>
    <w:rsid w:val="12EF116C"/>
    <w:rsid w:val="16496F82"/>
    <w:rsid w:val="164D10A2"/>
    <w:rsid w:val="17151AC9"/>
    <w:rsid w:val="1ABD6235"/>
    <w:rsid w:val="1C3C42B9"/>
    <w:rsid w:val="1E157ADF"/>
    <w:rsid w:val="22D379ED"/>
    <w:rsid w:val="253F01E5"/>
    <w:rsid w:val="284411BA"/>
    <w:rsid w:val="2A6939AD"/>
    <w:rsid w:val="2D432AA7"/>
    <w:rsid w:val="2EEE3C3F"/>
    <w:rsid w:val="2FBA04A1"/>
    <w:rsid w:val="334A7BB8"/>
    <w:rsid w:val="338D2CD2"/>
    <w:rsid w:val="3D8678F5"/>
    <w:rsid w:val="3F676C0E"/>
    <w:rsid w:val="4F537EF5"/>
    <w:rsid w:val="534443D8"/>
    <w:rsid w:val="54AF45D0"/>
    <w:rsid w:val="55FF65B3"/>
    <w:rsid w:val="56041612"/>
    <w:rsid w:val="573956B9"/>
    <w:rsid w:val="63344759"/>
    <w:rsid w:val="63B5400D"/>
    <w:rsid w:val="6AD94FDB"/>
    <w:rsid w:val="6CE75165"/>
    <w:rsid w:val="779913E8"/>
    <w:rsid w:val="78390393"/>
    <w:rsid w:val="7B533E58"/>
    <w:rsid w:val="7BCE4B51"/>
    <w:rsid w:val="7D4A0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liuwangping</dc:creator>
  <cp:lastModifiedBy>Lenovo</cp:lastModifiedBy>
  <dcterms:modified xsi:type="dcterms:W3CDTF">2017-09-24T12:07:03Z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