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6715" w14:textId="77777777" w:rsidR="00891982" w:rsidRDefault="00CF7730">
      <w:pPr>
        <w:keepNext/>
        <w:keepLines/>
        <w:spacing w:before="80" w:after="360"/>
        <w:jc w:val="center"/>
        <w:rPr>
          <w:rFonts w:ascii="Arial Narrow" w:hAnsi="Arial Narrow" w:cs="Arial Narrow"/>
          <w:b/>
          <w:sz w:val="32"/>
          <w:szCs w:val="32"/>
        </w:rPr>
      </w:pPr>
      <w:r>
        <w:rPr>
          <w:b/>
          <w:color w:val="4A4A4A"/>
          <w:spacing w:val="18"/>
          <w:sz w:val="36"/>
          <w:szCs w:val="32"/>
        </w:rPr>
        <w:t>OPIS OGÓLNY</w:t>
      </w:r>
    </w:p>
    <w:p w14:paraId="5D1362D3" w14:textId="77777777" w:rsidR="00891982" w:rsidRDefault="00891982">
      <w:pPr>
        <w:spacing w:after="0" w:line="40" w:lineRule="exact"/>
        <w:jc w:val="center"/>
        <w:rPr>
          <w:rFonts w:ascii="Arial Narrow" w:hAnsi="Arial Narrow" w:cs="Arial Narrow"/>
          <w:b/>
          <w:sz w:val="28"/>
          <w:szCs w:val="28"/>
        </w:rPr>
      </w:pPr>
    </w:p>
    <w:p w14:paraId="4BC31C75" w14:textId="77777777" w:rsidR="00891982" w:rsidRDefault="00CF7730">
      <w:pPr>
        <w:keepNext/>
        <w:keepLines/>
        <w:numPr>
          <w:ilvl w:val="0"/>
          <w:numId w:val="2"/>
        </w:numPr>
        <w:pBdr>
          <w:left w:val="single" w:sz="18" w:space="7" w:color="4A4A4A"/>
        </w:pBdr>
        <w:shd w:val="clear" w:color="auto" w:fill="F2F2F2"/>
        <w:tabs>
          <w:tab w:val="left" w:pos="283"/>
        </w:tabs>
        <w:spacing w:before="220" w:after="100" w:line="240" w:lineRule="auto"/>
        <w:ind w:left="283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NADZÓR</w:t>
      </w:r>
    </w:p>
    <w:p w14:paraId="17278C3F" w14:textId="77777777" w:rsidR="00891982" w:rsidRDefault="00891982">
      <w:pPr>
        <w:tabs>
          <w:tab w:val="left" w:pos="283"/>
        </w:tabs>
        <w:spacing w:after="0" w:line="40" w:lineRule="exact"/>
        <w:ind w:left="283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633C1B43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Nadzór nad gospodarką leśną lasów nie stanowiących własności Skarbu Państwa sprawuje Starosta Międzychodzki w zakresie zadań własnych.</w:t>
      </w:r>
    </w:p>
    <w:p w14:paraId="13EEB308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4756FDA4" w14:textId="77777777" w:rsidR="00891982" w:rsidRDefault="00CF7730">
      <w:pPr>
        <w:keepNext/>
        <w:keepLines/>
        <w:numPr>
          <w:ilvl w:val="0"/>
          <w:numId w:val="8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WARUNKI PRZYRODNICZE</w:t>
      </w:r>
    </w:p>
    <w:p w14:paraId="6F4D5E35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06240B19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Lasy objęte uproszczonym planem urządzenia lasów położone są w:</w:t>
      </w:r>
    </w:p>
    <w:p w14:paraId="2FCA6AAA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III  Wielkopolsko-Pomorskiej Krainie Przyrodniczo - Leśnej</w:t>
      </w:r>
    </w:p>
    <w:p w14:paraId="036AD886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 xml:space="preserve"> Pojezierzy Wielkopolskich</w:t>
      </w:r>
    </w:p>
    <w:p w14:paraId="35013B36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tbl>
      <w:tblPr>
        <w:tblW w:w="9657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7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:rsidR="00891982" w14:paraId="409E0F00" w14:textId="77777777">
        <w:trPr>
          <w:cantSplit/>
          <w:trHeight w:hRule="exact" w:val="587"/>
          <w:tblHeader/>
          <w:jc w:val="center"/>
        </w:trPr>
        <w:tc>
          <w:tcPr>
            <w:tcW w:w="82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4958BE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Wyszczególnienie</w:t>
            </w:r>
          </w:p>
        </w:tc>
        <w:tc>
          <w:tcPr>
            <w:tcW w:w="82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E278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color w:val="FFFFFF"/>
                <w:sz w:val="17"/>
                <w:szCs w:val="28"/>
                <w:u w:val="single"/>
              </w:rPr>
              <w:t>Siedliskowe typy lasu</w:t>
            </w:r>
          </w:p>
        </w:tc>
      </w:tr>
      <w:tr w:rsidR="00891982" w14:paraId="68BBA1F8" w14:textId="77777777">
        <w:trPr>
          <w:cantSplit/>
          <w:tblHeader/>
          <w:jc w:val="center"/>
        </w:trPr>
        <w:tc>
          <w:tcPr>
            <w:tcW w:w="174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AB24101" w14:textId="77777777" w:rsidR="00891982" w:rsidRDefault="00891982">
            <w:pPr>
              <w:snapToGrid w:val="0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47A35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Bs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141F5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Bśw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CC33D7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BMśw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ED7EC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BMw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61AB8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LMśw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BF10A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LMw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AF19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Lśw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1EE7E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Lw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70EB2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17"/>
                <w:szCs w:val="28"/>
                <w:u w:val="single"/>
              </w:rPr>
              <w:t>Ol</w:t>
            </w:r>
          </w:p>
        </w:tc>
      </w:tr>
      <w:tr w:rsidR="00891982" w14:paraId="23C16050" w14:textId="77777777">
        <w:trPr>
          <w:cantSplit/>
          <w:trHeight w:hRule="exact" w:val="704"/>
          <w:jc w:val="center"/>
        </w:trPr>
        <w:tc>
          <w:tcPr>
            <w:tcW w:w="1644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1A919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 xml:space="preserve"> Typ       D-stanu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00DD2D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Gatunki główne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31F0E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F4706A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8974E3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Db 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561542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7A7B4B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Db 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D89888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So Db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05A4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Db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4D49F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Js Db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0DCEBF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Ol</w:t>
            </w:r>
          </w:p>
        </w:tc>
      </w:tr>
      <w:tr w:rsidR="00891982" w14:paraId="72E29043" w14:textId="77777777">
        <w:trPr>
          <w:cantSplit/>
          <w:trHeight w:hRule="exact" w:val="997"/>
          <w:jc w:val="center"/>
        </w:trPr>
        <w:tc>
          <w:tcPr>
            <w:tcW w:w="871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C989841" w14:textId="77777777" w:rsidR="00891982" w:rsidRDefault="00891982">
            <w:pPr>
              <w:snapToGrid w:val="0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15E27D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Gatunki domie-szkowe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9E85F8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86232D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07C5D" w14:textId="77777777" w:rsidR="00891982" w:rsidRDefault="00CF7730">
            <w:pPr>
              <w:spacing w:after="0" w:line="240" w:lineRule="auto"/>
              <w:jc w:val="center"/>
            </w:pPr>
            <w:r>
              <w:rPr>
                <w:bCs/>
                <w:sz w:val="17"/>
                <w:szCs w:val="28"/>
                <w:u w:val="single"/>
              </w:rPr>
              <w:t>Bk Brz Md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B00847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Db Sw 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3A5573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Bk Md Gb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ECE576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  <w:lang w:val="de-DE"/>
              </w:rPr>
            </w:pPr>
            <w:r>
              <w:rPr>
                <w:bCs/>
                <w:sz w:val="17"/>
                <w:szCs w:val="28"/>
                <w:u w:val="single"/>
                <w:lang w:val="de-DE"/>
              </w:rPr>
              <w:t>Sw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B9AB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Bk Md So Gb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DA1BF7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Wz Sw Gb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6FBE4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Js Brz Sw</w:t>
            </w:r>
          </w:p>
        </w:tc>
      </w:tr>
      <w:tr w:rsidR="00891982" w14:paraId="0BD40D63" w14:textId="77777777">
        <w:trPr>
          <w:cantSplit/>
          <w:jc w:val="center"/>
        </w:trPr>
        <w:tc>
          <w:tcPr>
            <w:tcW w:w="871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8C553A5" w14:textId="77777777" w:rsidR="00891982" w:rsidRDefault="00891982">
            <w:pPr>
              <w:snapToGrid w:val="0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6E424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Gatunki pomocn.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0B1505" w14:textId="77777777" w:rsidR="00891982" w:rsidRDefault="00891982">
            <w:pPr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320F6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Ol Jrz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867B53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Kl Lp Jb Gr Os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36058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Ol Kl Lp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7E0459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Jw. Kl Lp Jb Gb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79A61E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Ol Jw. Lp 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E6BA4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Jw. Lp Czpt</w:t>
            </w:r>
          </w:p>
          <w:p w14:paraId="3885B094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Jb Gr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D3F5BA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17"/>
                <w:szCs w:val="28"/>
                <w:u w:val="single"/>
              </w:rPr>
              <w:t>Ol Jw Lp Kl Cz pt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86EA38" w14:textId="77777777" w:rsidR="00891982" w:rsidRDefault="00891982">
            <w:pPr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</w:tr>
    </w:tbl>
    <w:p w14:paraId="6112346D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p w14:paraId="127232E9" w14:textId="77777777" w:rsidR="00891982" w:rsidRDefault="00CF7730">
      <w:pPr>
        <w:widowControl/>
        <w:jc w:val="both"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Poniżej przedstawiono ramowy skład odnowień i zalesień  dla poszczególnych typów siedliskowych lasów.</w:t>
      </w:r>
    </w:p>
    <w:p w14:paraId="4217CB0B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tbl>
      <w:tblPr>
        <w:tblW w:w="9645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2"/>
        <w:gridCol w:w="1470"/>
        <w:gridCol w:w="6593"/>
      </w:tblGrid>
      <w:tr w:rsidR="00891982" w14:paraId="612AF077" w14:textId="77777777">
        <w:trPr>
          <w:cantSplit/>
          <w:tblHeader/>
          <w:jc w:val="center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D539E4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  <w:r>
              <w:rPr>
                <w:b/>
                <w:bCs/>
                <w:i/>
                <w:color w:val="FFFFFF"/>
                <w:sz w:val="21"/>
                <w:szCs w:val="28"/>
                <w:u w:val="single"/>
              </w:rPr>
              <w:t>Typ siedliskowy lasu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1AB1F4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  <w:r>
              <w:rPr>
                <w:b/>
                <w:bCs/>
                <w:i/>
                <w:color w:val="FFFFFF"/>
                <w:sz w:val="21"/>
                <w:szCs w:val="28"/>
                <w:u w:val="single"/>
              </w:rPr>
              <w:t xml:space="preserve">Typ    </w:t>
            </w:r>
          </w:p>
          <w:p w14:paraId="1B29941E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  <w:r>
              <w:rPr>
                <w:b/>
                <w:bCs/>
                <w:i/>
                <w:color w:val="FFFFFF"/>
                <w:sz w:val="21"/>
                <w:szCs w:val="28"/>
                <w:u w:val="single"/>
              </w:rPr>
              <w:t xml:space="preserve">d-stanu  </w:t>
            </w:r>
          </w:p>
        </w:tc>
        <w:tc>
          <w:tcPr>
            <w:tcW w:w="6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23F867" w14:textId="77777777" w:rsidR="00891982" w:rsidRDefault="00891982">
            <w:pPr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</w:p>
          <w:p w14:paraId="6FFD3D70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  <w:r>
              <w:rPr>
                <w:b/>
                <w:bCs/>
                <w:i/>
                <w:color w:val="FFFFFF"/>
                <w:sz w:val="21"/>
                <w:szCs w:val="28"/>
                <w:u w:val="single"/>
              </w:rPr>
              <w:t>Ramowy skład gatunkowy odnowień</w:t>
            </w:r>
          </w:p>
        </w:tc>
      </w:tr>
      <w:tr w:rsidR="00891982" w14:paraId="4C4689D4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7EBF5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Bs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03F0F8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402134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80-90%, Brz i inne 10-20%</w:t>
            </w:r>
          </w:p>
        </w:tc>
      </w:tr>
      <w:tr w:rsidR="00891982" w14:paraId="2B8436A8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225DD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Bśw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77A494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18B91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80%, Brz i inne 20%</w:t>
            </w:r>
          </w:p>
        </w:tc>
      </w:tr>
      <w:tr w:rsidR="00891982" w14:paraId="022CE987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31A3FA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BMśw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C523D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Db 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BAC47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70% ,Db 20%, Bk i inne 10%</w:t>
            </w:r>
          </w:p>
        </w:tc>
      </w:tr>
      <w:tr w:rsidR="00891982" w14:paraId="2719E1EC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078955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BMw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C3895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83672D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70% ,Dbb, Sw i inne 30%</w:t>
            </w:r>
          </w:p>
        </w:tc>
      </w:tr>
      <w:tr w:rsidR="00891982" w14:paraId="02E3B10E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FCD388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LMśw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4BD61B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Db 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1B183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50% ,Db 30%, Bk, Md i inne 20%</w:t>
            </w:r>
          </w:p>
        </w:tc>
      </w:tr>
      <w:tr w:rsidR="00891982" w14:paraId="261B2FAD" w14:textId="77777777">
        <w:trPr>
          <w:cantSplit/>
          <w:jc w:val="center"/>
        </w:trPr>
        <w:tc>
          <w:tcPr>
            <w:tcW w:w="161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0C1DFB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LMw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E7135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So Db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DE6D7D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Db 50% ,So 30%, Bk, Md i inne 20%</w:t>
            </w:r>
          </w:p>
        </w:tc>
      </w:tr>
      <w:tr w:rsidR="00891982" w14:paraId="1210CCF6" w14:textId="77777777">
        <w:trPr>
          <w:cantSplit/>
          <w:jc w:val="center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0BC76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Lśw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4AF90C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 xml:space="preserve">Db </w:t>
            </w:r>
          </w:p>
        </w:tc>
        <w:tc>
          <w:tcPr>
            <w:tcW w:w="6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116B4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 xml:space="preserve">Db 80% , Bk i inne 20% </w:t>
            </w:r>
          </w:p>
        </w:tc>
      </w:tr>
      <w:tr w:rsidR="00891982" w14:paraId="774DE8D4" w14:textId="77777777">
        <w:trPr>
          <w:cantSplit/>
          <w:jc w:val="center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93BD7B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Lw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D8CF6F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Js Db</w:t>
            </w:r>
          </w:p>
        </w:tc>
        <w:tc>
          <w:tcPr>
            <w:tcW w:w="6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9A8E32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 xml:space="preserve">Db 50%, Js 30% , Wz, Św i inne 20% </w:t>
            </w:r>
          </w:p>
        </w:tc>
      </w:tr>
      <w:tr w:rsidR="00891982" w14:paraId="5F4278F2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EA16F6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Ol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7F9E47" w14:textId="77777777" w:rsidR="00891982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>Ol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E7EB80" w14:textId="77777777" w:rsidR="00891982" w:rsidRDefault="00CF7730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>
              <w:rPr>
                <w:bCs/>
                <w:sz w:val="21"/>
                <w:szCs w:val="28"/>
                <w:u w:val="single"/>
              </w:rPr>
              <w:t xml:space="preserve">Ol 90%, Js i inne 10% </w:t>
            </w:r>
          </w:p>
        </w:tc>
      </w:tr>
    </w:tbl>
    <w:p w14:paraId="1426C7E4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p w14:paraId="2ECF1F7D" w14:textId="77777777" w:rsidR="00891982" w:rsidRDefault="00CF7730">
      <w:pPr>
        <w:widowControl/>
        <w:jc w:val="both"/>
      </w:pPr>
      <w:r>
        <w:rPr>
          <w:bCs/>
          <w:szCs w:val="28"/>
          <w:u w:val="single"/>
        </w:rPr>
        <w:t>Materiał używany do zalesień i odnowień musi spełniać wymagania ustawy z dnia 7 czerwca 2001 r. o leśnym materiale rozmnożeniowym (t.j. Dz.U. z 2019 r. poz. 1097).</w:t>
      </w:r>
    </w:p>
    <w:p w14:paraId="5AF7D7F3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bCs/>
          <w:sz w:val="28"/>
          <w:szCs w:val="28"/>
          <w:u w:val="single"/>
        </w:rPr>
      </w:pPr>
    </w:p>
    <w:p w14:paraId="71246170" w14:textId="77777777" w:rsidR="00891982" w:rsidRDefault="00891982">
      <w:pPr>
        <w:spacing w:after="0" w:line="40" w:lineRule="exact"/>
        <w:jc w:val="center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1BBAEF90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tabs>
          <w:tab w:val="left" w:pos="1003"/>
        </w:tabs>
        <w:spacing w:before="220" w:after="100" w:line="240" w:lineRule="auto"/>
        <w:ind w:left="1003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MAKSYMALNA MIĄŻSZOŚĆ MOŻLIWA DO POZYSKANIA</w:t>
      </w:r>
    </w:p>
    <w:p w14:paraId="6D85341D" w14:textId="77777777" w:rsidR="00891982" w:rsidRDefault="00891982">
      <w:pPr>
        <w:spacing w:after="0" w:line="40" w:lineRule="exact"/>
        <w:ind w:left="1003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2A2D1D58" w14:textId="77777777" w:rsidR="00891982" w:rsidRDefault="00CF7730">
      <w:pPr>
        <w:pStyle w:val="Nagwek1"/>
        <w:keepNext w:val="0"/>
        <w:widowControl/>
        <w:tabs>
          <w:tab w:val="left" w:pos="0"/>
        </w:tabs>
        <w:suppressAutoHyphens w:val="0"/>
        <w:jc w:val="both"/>
        <w:rPr>
          <w:szCs w:val="28"/>
        </w:rPr>
      </w:pPr>
      <w:r>
        <w:rPr>
          <w:sz w:val="24"/>
          <w:szCs w:val="28"/>
        </w:rPr>
        <w:t xml:space="preserve">W oparciu o rozporządzenie Ministra Środowiska z dnia 12 listopada 2012 r. w sprawie szczegółowych warunków i trybu sporządzania planu urządzenia lasu, uproszczonego </w:t>
      </w:r>
      <w:r>
        <w:rPr>
          <w:sz w:val="24"/>
          <w:szCs w:val="28"/>
        </w:rPr>
        <w:lastRenderedPageBreak/>
        <w:t>planu urządzenia lasu oraz inwentaryzacji stanu lasu (Dz.U. z 2012 r. poz. 1302), a także przyjęcia gospodarcze dla Ak i Lp, ustalono następujące minimalne wieki rębności:</w:t>
      </w:r>
    </w:p>
    <w:p w14:paraId="1FCB8686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120 lat  dla Db, Js, Wz</w:t>
      </w:r>
    </w:p>
    <w:p w14:paraId="5DF47614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100 lat dla Bk, Jd</w:t>
      </w:r>
    </w:p>
    <w:p w14:paraId="0662CE56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80 lat dla So, Md, Kl, Lp, Sw, Dg</w:t>
      </w:r>
    </w:p>
    <w:p w14:paraId="17927064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60 lat dla Brz, Ol, Ak, Gb</w:t>
      </w:r>
    </w:p>
    <w:p w14:paraId="67EE7A2D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40 lat dla Os</w:t>
      </w:r>
    </w:p>
    <w:p w14:paraId="42D205FC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30 lat dla Tp, Olsz</w:t>
      </w:r>
    </w:p>
    <w:p w14:paraId="0E3C7522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t>Dla gatunków niewymienionych wprost w § 7 ust. 3 pkt 1 lit. a rozporządzenia przyjęto wartości gospodarcze przez analogię: dla robinii akacjowej (Ak) 60 lat jak dla brzozy, a dla lipy (Lp) 80 lat jak dla klonu.</w:t>
      </w:r>
    </w:p>
    <w:p w14:paraId="406651FF" w14:textId="77777777" w:rsidR="00891982" w:rsidRDefault="00CF7730">
      <w:pPr>
        <w:widowControl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określono maksymalną miąższość do pozyskania w użytkowaniu rębnym:</w:t>
      </w:r>
    </w:p>
    <w:p w14:paraId="306489C4" w14:textId="77777777" w:rsidR="00891982" w:rsidRDefault="00891982">
      <w:pPr>
        <w:spacing w:after="120" w:line="240" w:lineRule="auto" w:before="60"/>
        <w:rPr>
          <w:rFonts w:ascii="Arial Narrow" w:hAnsi="Arial Narrow" w:cs="Arial Narrow"/>
          <w:sz w:val="28"/>
          <w:szCs w:val="28"/>
        </w:rPr>
      </w:pPr>
      <w:r>
        <w:rPr>
          <w:rFonts w:ascii="Arial Narrow" w:hAnsi="Arial Narrow" w:cs="Arial Narrow"/>
          <w:sz w:val="28"/>
          <w:szCs w:val="28"/>
        </w:rPr>
        <w:t>{{OBREB}}</w:t>
      </w:r>
    </w:p>
    <w:tbl>
      <w:tblPr>
        <w:tblW w:w="9649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9"/>
        <w:gridCol w:w="1608"/>
        <w:gridCol w:w="1608"/>
        <w:gridCol w:w="1608"/>
        <w:gridCol w:w="1608"/>
        <w:gridCol w:w="1608"/>
      </w:tblGrid>
      <w:tr w:rsidR="00891982" w14:paraId="31F1E5CE" w14:textId="77777777">
        <w:trPr>
          <w:cantSplit/>
          <w:tblHeader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5EDC9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Etat z ostatniej klasy wieku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7FF9BC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Etat z 2-ch ostatnich klas wieku 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C603D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Etat wg potrzeb hodowlanych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4CDD1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Etat przyjęty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8939C" w14:textId="77777777" w:rsidR="00891982" w:rsidRDefault="00CF7730">
            <w:pPr>
              <w:pStyle w:val="Nagwektabeli"/>
              <w:snapToGrid w:val="0"/>
              <w:spacing w:after="0" w:line="240" w:lineRule="auto"/>
            </w:pPr>
            <w:r>
              <w:rPr>
                <w:color w:val="FFFFFF"/>
                <w:sz w:val="19"/>
                <w:szCs w:val="28"/>
              </w:rPr>
              <w:t>Pozostałe użytki rębne nie objęte etatem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43827D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Maksymalna miąższość możliwa do pozysk. w użytk. rębnym</w:t>
            </w:r>
          </w:p>
        </w:tc>
      </w:tr>
      <w:tr w:rsidR="00891982" w14:paraId="33293FA9" w14:textId="77777777">
        <w:trPr>
          <w:cantSplit/>
          <w:jc w:val="center"/>
        </w:trPr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9D4FF" w14:textId="77777777" w:rsidR="00891982" w:rsidRDefault="00891982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{{ETAT_OST_KL}}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D0737" w14:textId="77777777" w:rsidR="00891982" w:rsidRDefault="00891982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{{ETAT_2_OST}}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A94E1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{{ETAT_POTRZEBY}}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E7C05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{{ETAT_PRZYJETY}}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287E17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{{POZOSTALE_REBNE}}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7A33FC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/>
                <w:sz w:val="28"/>
                <w:szCs w:val="28"/>
              </w:rPr>
            </w:pPr>
            <w:r>
              <w:rPr>
                <w:sz w:val="19"/>
                <w:szCs w:val="28"/>
              </w:rPr>
              <w:t>{{MAKS_MIAZSZOSC}}</w:t>
            </w:r>
          </w:p>
        </w:tc>
      </w:tr>
    </w:tbl>
    <w:p w14:paraId="507C0C90" w14:textId="77777777" w:rsidR="00891982" w:rsidRDefault="00891982">
      <w:pPr>
        <w:spacing w:after="0" w:line="240" w:lineRule="auto"/>
      </w:pPr>
      <w:r>
        <w:t>Użytkowanie przedrębne</w:t>
      </w:r>
    </w:p>
    <w:p w14:paraId="41FAC5CE" w14:textId="77777777" w:rsidR="00891982" w:rsidRDefault="00CF7730">
      <w:pPr>
        <w:widowControl/>
      </w:pPr>
      <w:r>
        <w:rPr>
          <w:szCs w:val="28"/>
        </w:rPr>
        <w:t>Miąższość drzewostanów zaprojektowanych do użytkowania przedrębnego</w:t>
      </w:r>
    </w:p>
    <w:p w14:paraId="41FAC5CE" w14:textId="77777777" w:rsidR="00891982" w:rsidRDefault="00CF7730">
      <w:pPr>
        <w:spacing w:after="120" w:before="60"/>
        <w:widowControl/>
      </w:pPr>
      <w:r>
        <w:t>{{OBREB}}</w:t>
      </w:r>
    </w:p>
    <w:tbl>
      <w:tblPr>
        <w:tblW w:w="9649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9"/>
        <w:gridCol w:w="1929"/>
        <w:gridCol w:w="1929"/>
        <w:gridCol w:w="1929"/>
        <w:gridCol w:w="1929"/>
      </w:tblGrid>
      <w:tr w:rsidR="00891982" w14:paraId="31F1E5CE" w14:textId="77777777">
        <w:trPr>
          <w:cantSplit/>
          <w:tblHeader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5EDC9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Miąższość drzewostanów projektowanych do użytkowania przedrębnego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7FF9BC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Spodziewany przyrost bieżący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C603D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Miąższość planowana do pozyskania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4CDD1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(3:1)/100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8939C" w14:textId="77777777" w:rsidR="00891982" w:rsidRDefault="00CF7730">
            <w:pPr>
              <w:pStyle w:val="Nagwektabeli"/>
              <w:snapToGrid w:val="0"/>
              <w:spacing w:after="0" w:line="240" w:lineRule="auto"/>
            </w:pPr>
            <w:r>
              <w:rPr>
                <w:color w:val="FFFFFF"/>
                <w:sz w:val="19"/>
                <w:szCs w:val="28"/>
              </w:rPr>
              <w:t xml:space="preserve">(3:2)/100</w:t>
            </w:r>
          </w:p>
        </w:tc>
      </w:tr>
      <w:tr w:rsidR="00891982" w14:paraId="33293FA9" w14:textId="77777777">
        <w:trPr>
          <w:cantSplit/>
          <w:jc w:val="center"/>
        </w:trPr>
        <w:tc>
          <w:tcPr>
            <w:tcW w:w="5787" w:type="dxa"/>
            <w:gridSpan w:val="3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9D4FF" w14:textId="77777777" w:rsidR="00891982" w:rsidRDefault="00891982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 xml:space="preserve">m3 grubizny brutto</w:t>
            </w:r>
          </w:p>
        </w:tc>
        <w:tc>
          <w:tcPr>
            <w:tcW w:w="3858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E7C05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 xml:space="preserve">%</w:t>
            </w:r>
          </w:p>
        </w:tc>
      </w:tr>
      <w:tr w:rsidR="00891982" w14:paraId="31F1E5CE" w14:textId="77777777">
        <w:trPr>
          <w:cantSplit/>
          <w:tblHeader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5EDC9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1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7FF9BC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2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C603D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3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4CDD1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4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8939C" w14:textId="77777777" w:rsidR="00891982" w:rsidRDefault="00CF7730">
            <w:pPr>
              <w:pStyle w:val="Nagwektabeli"/>
              <w:snapToGrid w:val="0"/>
              <w:spacing w:after="0" w:line="240" w:lineRule="auto"/>
            </w:pPr>
            <w:r>
              <w:rPr>
                <w:color w:val="FFFFFF"/>
                <w:sz w:val="19"/>
                <w:szCs w:val="28"/>
              </w:rPr>
              <w:t xml:space="preserve">5</w:t>
            </w:r>
          </w:p>
        </w:tc>
      </w:tr>
      <w:tr w:rsidR="00891982" w14:paraId="33293FA9" w14:textId="77777777">
        <w:trPr>
          <w:cantSplit/>
          <w:jc w:val="center"/>
        </w:trPr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9D4FF" w14:textId="77777777" w:rsidR="00891982" w:rsidRDefault="00891982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 xml:space="preserve">{{PRZEDRZ_MIAZSZ}}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D0737" w14:textId="77777777" w:rsidR="00891982" w:rsidRDefault="00891982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 xml:space="preserve">{{PRZEDRZ_PRZYROST}}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A94E1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 xml:space="preserve">{{UZYTK_PRZEDRZEBNE}}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E7C05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 xml:space="preserve">{{PRZEDRZ_P1}}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287E17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 xml:space="preserve">{{PRZEDRZ_P2}}</w:t>
            </w:r>
          </w:p>
        </w:tc>
      </w:tr>
    </w:tbl>
    <w:p w14:paraId="4C835357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52112D6" w14:textId="77777777" w:rsidR="00891982" w:rsidRDefault="00CF7730">
      <w:pPr>
        <w:widowControl/>
        <w:jc w:val="both"/>
      </w:pPr>
      <w:r>
        <w:rPr>
          <w:szCs w:val="28"/>
        </w:rPr>
        <w:t>W uzasadnionych przypadkach wynikających z potrzeb hodowli i użytkowania lasu oraz innych aspektów przyrodniczych, możliwe jest zwiększenie poziomu użytkowania przedrębnego wykazanego w niniejszym opracowaniu do wielkości nie przekraczającej  20%  zasobności danego drzewostanu (pododdziału).</w:t>
      </w:r>
    </w:p>
    <w:p w14:paraId="40DC7A9A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5583E22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OCHRONA LASU, OCHRONA PRZYRODY</w:t>
      </w:r>
    </w:p>
    <w:p w14:paraId="0554968A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191FED19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>{{FORMY_OCHRONY}}</w:t>
      </w:r>
    </w:p>
    <w:p w14:paraId="78D79E10" w14:textId="77777777" w:rsidR="00891982" w:rsidRDefault="00CF7730">
      <w:pPr>
        <w:widowControl/>
        <w:ind w:left="255" w:hanging="181"/>
        <w:rPr>
          <w:szCs w:val="28"/>
        </w:rPr>
      </w:pPr>
      <w:r>
        <w:rPr>
          <w:szCs w:val="28"/>
        </w:rPr>
      </w:r>
    </w:p>
    <w:p w14:paraId="764B091E" w14:textId="77777777" w:rsidR="0024125F" w:rsidRDefault="0024125F" w:rsidP="0024125F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u w:val="single"/>
        </w:rPr>
      </w:r>
      <w:r/>
    </w:p>
    <w:p w14:paraId="06732F98" w14:textId="77777777" w:rsidR="0024125F" w:rsidRDefault="0024125F">
      <w:pPr>
        <w:widowControl/>
        <w:ind w:left="255" w:hanging="181"/>
        <w:rPr>
          <w:szCs w:val="28"/>
        </w:rPr>
      </w:pPr>
      <w:r/>
    </w:p>
    <w:p w14:paraId="02D7BEAE" w14:textId="37A9C18E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</w:r>
    </w:p>
    <w:p w14:paraId="5E418DA0" w14:textId="77777777" w:rsidR="0024125F" w:rsidRDefault="0024125F" w:rsidP="0024125F">
      <w:pPr>
        <w:widowControl/>
        <w:jc w:val="both"/>
      </w:pPr>
      <w:r>
        <w:rPr>
          <w:u w:val="single"/>
        </w:rPr>
      </w:r>
      <w:r/>
    </w:p>
    <w:p w14:paraId="6544231A" w14:textId="77777777" w:rsidR="0024125F" w:rsidRDefault="0024125F">
      <w:pPr>
        <w:widowControl/>
        <w:ind w:left="255" w:hanging="181"/>
        <w:rPr>
          <w:szCs w:val="28"/>
        </w:rPr>
      </w:pPr>
      <w:r/>
    </w:p>
    <w:p w14:paraId="1CEBF791" w14:textId="77777777" w:rsidR="0024125F" w:rsidRDefault="00CF7730" w:rsidP="0024125F">
      <w:pPr>
        <w:widowControl/>
        <w:ind w:left="255" w:hanging="181"/>
        <w:rPr>
          <w:szCs w:val="28"/>
        </w:rPr>
      </w:pPr>
      <w:r>
        <w:rPr>
          <w:szCs w:val="28"/>
        </w:rPr>
      </w:r>
    </w:p>
    <w:p w14:paraId="06AD3F71" w14:textId="030CCB9D" w:rsidR="0024125F" w:rsidRDefault="0024125F" w:rsidP="0024125F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u w:val="single"/>
        </w:rPr>
      </w:r>
      <w:r/>
    </w:p>
    <w:p w14:paraId="127AA8DF" w14:textId="77777777" w:rsidR="0024125F" w:rsidRDefault="0024125F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/>
    </w:p>
    <w:p w14:paraId="00EBEF5B" w14:textId="77777777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</w:r>
    </w:p>
    <w:p w14:paraId="764A147A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  <w:r/>
    </w:p>
    <w:p w14:paraId="554C0CE9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/>
    </w:p>
    <w:p w14:paraId="6198238E" w14:textId="77777777" w:rsidR="00891982" w:rsidRDefault="00CF7730">
      <w:pPr>
        <w:widowControl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Lasy ochronne – 0,00ha</w:t>
      </w:r>
    </w:p>
    <w:p w14:paraId="2498E16B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80C8FC1" w14:textId="77777777" w:rsidR="00891982" w:rsidRDefault="00CF7730">
      <w:pPr>
        <w:keepNext/>
        <w:keepLines/>
        <w:widowControl/>
        <w:spacing w:before="120" w:after="60"/>
      </w:pPr>
      <w:r>
        <w:rPr>
          <w:b/>
          <w:szCs w:val="28"/>
        </w:rPr>
        <w:t xml:space="preserve">       Stan zdrowotny przedstawia się następująco :         </w:t>
      </w:r>
    </w:p>
    <w:p w14:paraId="34F39656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Czynniki natury biotycznej -  nie stwierdzono rozmiarów szkód mających znaczenie             gospodarcze, należy jednak zwrócić uwagę na występowanie szkodników wtórnych.</w:t>
      </w:r>
    </w:p>
    <w:p w14:paraId="7FDB360F" w14:textId="77777777" w:rsidR="00891982" w:rsidRDefault="00CF7730">
      <w:pPr>
        <w:widowControl/>
        <w:autoSpaceDE w:val="0"/>
        <w:jc w:val="both"/>
      </w:pPr>
      <w:r>
        <w:rPr>
          <w:szCs w:val="28"/>
        </w:rPr>
        <w:t xml:space="preserve">           Aby ograniczyć możliwość powstawania szkód w drzewostanach zaleca się  stosować </w:t>
      </w:r>
      <w:r>
        <w:rPr>
          <w:rFonts w:hint="cs"/>
        </w:rPr>
        <w:t>           </w:t>
      </w:r>
      <w:r>
        <w:t xml:space="preserve"> </w:t>
      </w:r>
      <w:r>
        <w:rPr>
          <w:szCs w:val="28"/>
        </w:rPr>
        <w:t>następujące działania:</w:t>
      </w:r>
    </w:p>
    <w:p w14:paraId="17B5CEF8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utrzymanie stanu sanitarnego lasu poprzez wyrabianie i   wywożenie z lasu posuszu czynnego, złomów i wywrotów.</w:t>
      </w:r>
    </w:p>
    <w:p w14:paraId="34D1BAC3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bieżący monitoring zasiedlenia drzew (poszukiwanie drzew trocinowych)   </w:t>
      </w:r>
    </w:p>
    <w:p w14:paraId="6CF6AD4B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wykładanie drzew pułapkowych i ich korowanie i o ile to możliwe stosowanie pułapek feromonowych</w:t>
      </w:r>
    </w:p>
    <w:p w14:paraId="4E630A02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terminowy wywóz drewna z lasu</w:t>
      </w:r>
    </w:p>
    <w:p w14:paraId="4883E0FE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korowanie pniaków po ściętych drzewach</w:t>
      </w:r>
    </w:p>
    <w:p w14:paraId="065B4A31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ochronę wrogów szkodliwych owadów, szczególnie ptaków</w:t>
      </w:r>
    </w:p>
    <w:p w14:paraId="7739EC13" w14:textId="77777777" w:rsidR="00891982" w:rsidRDefault="00891982">
      <w:pPr>
        <w:autoSpaceDE w:val="0"/>
        <w:spacing w:after="0" w:line="40" w:lineRule="exact"/>
        <w:ind w:left="360"/>
        <w:rPr>
          <w:rFonts w:ascii="Arial Narrow" w:hAnsi="Arial Narrow" w:cs="Arial Narrow"/>
          <w:sz w:val="28"/>
          <w:szCs w:val="28"/>
        </w:rPr>
      </w:pPr>
    </w:p>
    <w:p w14:paraId="0422908A" w14:textId="77777777" w:rsidR="00891982" w:rsidRDefault="00CF7730">
      <w:pPr>
        <w:widowControl/>
        <w:autoSpaceDE w:val="0"/>
        <w:ind w:left="360"/>
        <w:jc w:val="both"/>
      </w:pPr>
      <w:r>
        <w:rPr>
          <w:szCs w:val="28"/>
        </w:rPr>
        <w:t>Nie zaobserwowano dużych szkód spowodowanych przez zwierzynę płową,  jednak przy zakładaniu upraw leśnych zaleca się stosowanie środków zabezpieczających przed zgryzaniem i spałowaniem ewentualnie grodzenie upraw.</w:t>
      </w:r>
    </w:p>
    <w:p w14:paraId="3D0FA685" w14:textId="77777777" w:rsidR="00891982" w:rsidRDefault="00891982">
      <w:pPr>
        <w:autoSpaceDE w:val="0"/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C74127D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 Czynniki natury abiotycznej –  wahania poziomu wód gruntowych, niedobór lub           nadmiar opadów w okresie wegetacyjnym , obfite opady śniegu (okiść), silne wiatry i           przymrozki  mogą oddziaływać  negatywnie drzewostany. Racjonalna gospodarka leśna           poprzez właściwe stosowanie cięć pielęgnacyjnych (CW,CP,TW,TP,CS)   pozwala na           zwiększenie naturalnej odporności drzewostanów</w:t>
      </w:r>
    </w:p>
    <w:p w14:paraId="2BF5F48B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Czynniki natury antropogenicznej – ruch turystyczny w okresie wakacji oraz okres            zbiorów darów runa leśnego może okresowo negatywnie wpłynąć na drzewostany            jednak odczuwalne efekty tego zjawiska są niewielkie ( śmieci przy ciągach            komunikacyjnych, niszczenie runa leśnego) </w:t>
      </w:r>
    </w:p>
    <w:p w14:paraId="15B335A4" w14:textId="77777777" w:rsidR="00891982" w:rsidRDefault="00CF7730">
      <w:pPr>
        <w:widowControl/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          W bezpośrednim sąsiedztwie brak jest przemysłu emitującego zanieczyszczenia.</w:t>
      </w:r>
    </w:p>
    <w:p w14:paraId="171D9073" w14:textId="77777777" w:rsidR="00891982" w:rsidRDefault="00891982">
      <w:pPr>
        <w:autoSpaceDE w:val="0"/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43B4445" w14:textId="77777777" w:rsidR="00891982" w:rsidRDefault="00CF7730">
      <w:pPr>
        <w:widowControl/>
        <w:autoSpaceDE w:val="0"/>
        <w:jc w:val="both"/>
      </w:pPr>
      <w:r>
        <w:rPr>
          <w:szCs w:val="28"/>
        </w:rPr>
        <w:t>Stan zdrowotny w świetle analizy w/w czynników biotycznych , abiotycznych i natury antropogenicznej uznano za zadowalający</w:t>
      </w:r>
    </w:p>
    <w:p w14:paraId="50B7099F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8F8EA96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lastRenderedPageBreak/>
        <w:t>Stan sanitarny lasów przedstawia się następująco :</w:t>
      </w:r>
    </w:p>
    <w:p w14:paraId="204C3D75" w14:textId="77777777" w:rsidR="00891982" w:rsidRDefault="00CF7730">
      <w:pPr>
        <w:widowControl/>
        <w:jc w:val="both"/>
      </w:pPr>
      <w:r>
        <w:rPr>
          <w:szCs w:val="28"/>
        </w:rPr>
        <w:t>jest zadowalający, sporadycznie wydzielający sie posusz jest na bieżąco usuwany pod nadzorem służb leśnych.</w:t>
      </w:r>
    </w:p>
    <w:p w14:paraId="27DE777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C9AC2EA" w14:textId="77777777" w:rsidR="00891982" w:rsidRDefault="00CF7730">
      <w:pPr>
        <w:keepNext/>
        <w:keepLines/>
        <w:widowControl/>
        <w:spacing w:before="120" w:after="60"/>
      </w:pPr>
      <w:r>
        <w:rPr>
          <w:b/>
          <w:szCs w:val="28"/>
        </w:rPr>
        <w:t xml:space="preserve">W celu realizacji postanowień aktów prawnych mających na uwadze  ochronę </w:t>
      </w:r>
      <w:r>
        <w:rPr>
          <w:b/>
          <w:spacing w:val="11"/>
          <w:szCs w:val="28"/>
        </w:rPr>
        <w:t xml:space="preserve">gatunkową dziko występujących zwierząt, roślin i grzybów </w:t>
      </w:r>
      <w:r>
        <w:rPr>
          <w:b/>
          <w:szCs w:val="28"/>
        </w:rPr>
        <w:t xml:space="preserve"> zaleca się:</w:t>
      </w:r>
    </w:p>
    <w:p w14:paraId="78344FF0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9EBAE97" w14:textId="77777777" w:rsidR="00891982" w:rsidRDefault="00CF7730">
      <w:pPr>
        <w:widowControl/>
        <w:ind w:left="255" w:hanging="181"/>
      </w:pPr>
      <w:r>
        <w:rPr>
          <w:szCs w:val="28"/>
        </w:rPr>
        <w:t>- stosować wymagania rozporządzenia Ministra Klimatu i Środowiska z dnia 27 marca 2023 r. w sprawie wymagań dobrej praktyki w zakresie gospodarki leśnej (Dz.U. z 2023 r. poz. 672),</w:t>
      </w:r>
    </w:p>
    <w:p w14:paraId="319588D5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przed rozpoczęciem prac dokonać przeglądu dostępnych danych, a nie wcześniej niż dwa tygodnie przed rozpoczęciem działań przeprowadzić wizję terenową; drzewa z dziuplami, gniazdami o średnicy powyżej 25 cm, innymi gniazdami wieloletnimi oraz chronionymi stanowiskami oznakować i zabezpieczyć przed zniszczeniem lub uszkodzeniem,</w:t>
      </w:r>
    </w:p>
    <w:p w14:paraId="50AF3323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w przypadku stwierdzenia obecności gatunków chronionych, ich siedlisk, ostoi lub gniazd należy wstrzymać prace w niezbędnym zakresie i ustalić właściwy tryb uzyskania zezwolenia na odstępstwo zgodnie z art. 56 ustawy o ochronie przyrody, w odniesieniu do zakazów określonych w art. 51 ust. 1 i 1a oraz art. 52 ust. 1 i 1a tej ustawy; właściwość RDOŚ albo GDOŚ należy ustalić zgodnie z art. 56,</w:t>
      </w:r>
    </w:p>
    <w:p w14:paraId="6C49A4CC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prowadzić zrywki na siedliskach wilgotnych i podmokłych w sposób minimalizujący naruszenie warstwy próchnicznej gleby, w okresie zimowym przy pokrywie śnieżnej</w:t>
      </w:r>
    </w:p>
    <w:p w14:paraId="60441334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zachować drzewa dziuplaste oraz dążyć do pozostawienia około 3-5 martwych drzew na 1 ha, z uwzględnieniem bezpieczeństwa ludzi, trwałości lasu, zagrożenia pożarowego i ryzyka masowego wystąpienia szkodników,</w:t>
      </w:r>
    </w:p>
    <w:p w14:paraId="2EA19DB7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pozostawiać fragmenty drzewostanu o pow. ok. 5% w przypadku rębni zupełnych,</w:t>
      </w:r>
    </w:p>
    <w:p w14:paraId="092C3792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w rębniach złożonych pozostawiać 3-5 żywych drzew na 1 ha odnawianej powierzchni, w formie grup, kęp lub pojedynczych drzew, z możliwością łączenia ich w większe biogrupy,</w:t>
      </w:r>
    </w:p>
    <w:p w14:paraId="005C9776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nie dopuszczać do usuwania podszytu i przeprowadzania zrywki w pozostawionych biogrupach,</w:t>
      </w:r>
    </w:p>
    <w:p w14:paraId="7B2B3EEA" w14:textId="77777777" w:rsidR="00891982" w:rsidRDefault="00891982">
      <w:pPr>
        <w:spacing w:after="0" w:line="40" w:lineRule="exact"/>
        <w:rPr>
          <w:rFonts w:ascii="Arial Narrow" w:hAnsi="Arial Narrow" w:cs="Arial Narrow"/>
          <w:spacing w:val="11"/>
          <w:sz w:val="28"/>
          <w:szCs w:val="28"/>
        </w:rPr>
      </w:pPr>
    </w:p>
    <w:p w14:paraId="451987ED" w14:textId="77777777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t>- nie wykonywać rębni zupełnych ani rębni gniazdowych w pasie o szerokości 25 m od linii brzegu naturalnych cieków i zbiorników wodnych,</w:t>
      </w:r>
    </w:p>
    <w:p w14:paraId="7F806D21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>W zakresie art. 30 ustawy z dnia 28 września 1991 r. o lasach (t.j. Dz.U. z 2026 r. poz. 663) należy stosować się do następujących zakazów:</w:t>
      </w:r>
    </w:p>
    <w:p w14:paraId="7CE7899D" w14:textId="77777777" w:rsidR="00891982" w:rsidRDefault="00CF7730">
      <w:pPr>
        <w:pStyle w:val="WW-NormalnyWeb"/>
        <w:keepNext/>
        <w:keepLines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 xml:space="preserve">    W lasach zabrania się: </w:t>
      </w:r>
    </w:p>
    <w:p w14:paraId="59974B56" w14:textId="77777777" w:rsidR="00891982" w:rsidRDefault="00CF7730">
      <w:pPr>
        <w:widowControl/>
        <w:ind w:left="720" w:right="720" w:hanging="181"/>
      </w:pPr>
      <w:r>
        <w:rPr>
          <w:szCs w:val="28"/>
        </w:rPr>
        <w:t xml:space="preserve">1) zanieczyszczania gleby i wód, </w:t>
      </w:r>
      <w:r>
        <w:rPr>
          <w:szCs w:val="28"/>
        </w:rPr>
        <w:br/>
        <w:t xml:space="preserve">2) zaśmiecania, </w:t>
      </w:r>
      <w:r>
        <w:rPr>
          <w:szCs w:val="28"/>
        </w:rPr>
        <w:br/>
        <w:t xml:space="preserve">3) rozkopywania gruntu, </w:t>
      </w:r>
      <w:r>
        <w:rPr>
          <w:szCs w:val="28"/>
        </w:rPr>
        <w:br/>
        <w:t xml:space="preserve">4) niszczenia grzybów oraz grzybni, </w:t>
      </w:r>
      <w:r>
        <w:rPr>
          <w:szCs w:val="28"/>
        </w:rPr>
        <w:br/>
        <w:t xml:space="preserve">5) niszczenia lub uszkadzania drzew, krzewów lub innych roślin, </w:t>
      </w:r>
      <w:r>
        <w:rPr>
          <w:szCs w:val="28"/>
        </w:rPr>
        <w:br/>
        <w:t xml:space="preserve">6) niszczenia urządzeń i obiektów gospodarczych, turystycznych i technicznych oraz znaków i tablic, </w:t>
      </w:r>
      <w:r>
        <w:rPr>
          <w:szCs w:val="28"/>
        </w:rPr>
        <w:br/>
        <w:t xml:space="preserve">7) zbierania płodów runa leśnego w oznakowanych miejscach zabronionych, </w:t>
      </w:r>
      <w:r>
        <w:rPr>
          <w:szCs w:val="28"/>
        </w:rPr>
        <w:br/>
        <w:t xml:space="preserve">8) rozgarniania i zbierania ściółki, </w:t>
      </w:r>
      <w:r>
        <w:rPr>
          <w:szCs w:val="28"/>
        </w:rPr>
        <w:br/>
        <w:t xml:space="preserve">9) wypasu zwierząt gospodarskich, </w:t>
      </w:r>
      <w:r>
        <w:rPr>
          <w:szCs w:val="28"/>
        </w:rPr>
        <w:br/>
      </w:r>
      <w:r>
        <w:rPr>
          <w:szCs w:val="28"/>
        </w:rPr>
        <w:lastRenderedPageBreak/>
        <w:t xml:space="preserve">10) biwakowania poza miejscami wyznaczonymi przez właściciela lasu lub nadleśniczego, </w:t>
      </w:r>
      <w:r>
        <w:rPr>
          <w:szCs w:val="28"/>
        </w:rPr>
        <w:br/>
        <w:t xml:space="preserve">11) wybierania jaj i piskląt, niszczenia lęgowisk i gniazd ptasich, a także niszczenia legowisk, nor i mrowisk, </w:t>
      </w:r>
      <w:r>
        <w:rPr>
          <w:szCs w:val="28"/>
        </w:rPr>
        <w:br/>
        <w:t xml:space="preserve">12) płoszenia, ścigania, chwytania i zabijania dziko żyjących zwierząt, </w:t>
      </w:r>
      <w:r>
        <w:rPr>
          <w:szCs w:val="28"/>
        </w:rPr>
        <w:br/>
        <w:t xml:space="preserve">13) puszczania psów luzem, </w:t>
      </w:r>
      <w:r>
        <w:rPr>
          <w:szCs w:val="28"/>
        </w:rPr>
        <w:br/>
        <w:t>14) hałasowania oraz używania sygnałów dźwiękowych, z wyjątkiem przypadków wymagających wszczęcia alarmu.</w:t>
      </w:r>
    </w:p>
    <w:p w14:paraId="1C321376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Przepisy pkt 3 i 5 nie dotyczą czynności związanych z gospodarką leśną, a pkt 12-14 nie dotyczą polowań. </w:t>
      </w:r>
    </w:p>
    <w:p w14:paraId="48215AF3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  <w:u w:val="single"/>
        </w:rPr>
      </w:pPr>
    </w:p>
    <w:p w14:paraId="42AB0840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  <w:u w:val="single"/>
        </w:rPr>
      </w:pPr>
    </w:p>
    <w:p w14:paraId="36684F46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OCHRONA PRZECIWPOŻAROWA LASÓW</w:t>
      </w:r>
    </w:p>
    <w:p w14:paraId="5AB609F8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bCs/>
          <w:sz w:val="28"/>
          <w:szCs w:val="28"/>
          <w:u w:val="single"/>
        </w:rPr>
      </w:pPr>
    </w:p>
    <w:p w14:paraId="14A94B42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Lasy objęte opracowaniem , należą do I kategorii - dużego zagrożenia pożarowego.</w:t>
      </w:r>
    </w:p>
    <w:p w14:paraId="3DB8E67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796F1622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W zakresie ochrony przeciwpożarowej obowiązki właścicieli lasów reguluje rozporządzenie Ministra Spraw Wewnętrznych i Administracji z dnia 7 czerwca 2010 r. w sprawie ochrony przeciwpożarowej budynków, innych obiektów budowlanych i terenów (t.j. Dz.U. z 2023 r. poz. 822, z późn. zm.), w szczególności rozdział 9 - Zabezpieczenie przeciwpożarowe lasów,</w:t>
      </w:r>
    </w:p>
    <w:p w14:paraId="35B1168E" w14:textId="77777777" w:rsidR="00891982" w:rsidRDefault="00CF7730">
      <w:pPr>
        <w:widowControl/>
        <w:spacing w:after="40" w:line="240" w:lineRule="auto"/>
        <w:rPr>
          <w:rFonts w:ascii="Arial Narrow" w:hAnsi="Arial Narrow" w:cs="Arial Narrow"/>
          <w:sz w:val="28"/>
          <w:szCs w:val="28"/>
        </w:rPr>
      </w:pPr>
      <w:r>
        <w:rPr>
          <w:sz w:val="22"/>
          <w:szCs w:val="28"/>
        </w:rPr>
        <w:t xml:space="preserve">oraz </w:t>
      </w:r>
    </w:p>
    <w:p w14:paraId="65BB1755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rozporządzenie Ministra Środowiska z dnia 22 marca 2006 r. w sprawie szczegółowych zasad zabezpieczenia przeciwpożarowego lasów</w:t>
      </w:r>
      <w:r>
        <w:rPr>
          <w:b/>
          <w:sz w:val="22"/>
          <w:szCs w:val="28"/>
        </w:rPr>
        <w:t> </w:t>
      </w:r>
    </w:p>
    <w:p w14:paraId="557AF83C" w14:textId="77777777" w:rsidR="00891982" w:rsidRDefault="00CF7730">
      <w:pPr>
        <w:pStyle w:val="Tekstpodstawowy"/>
        <w:widowControl/>
        <w:spacing w:after="40" w:line="240" w:lineRule="auto"/>
      </w:pPr>
      <w:r>
        <w:rPr>
          <w:sz w:val="22"/>
          <w:szCs w:val="28"/>
        </w:rPr>
        <w:t>(t.j. Dz.U. z 2022 r. poz. 1065).</w:t>
      </w:r>
    </w:p>
    <w:p w14:paraId="69920643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8"/>
        </w:rPr>
        <w:t xml:space="preserve">        Zgodnie z § 38  rozporządzenia </w:t>
      </w:r>
      <w:r>
        <w:rPr>
          <w:b/>
          <w:bCs/>
          <w:sz w:val="22"/>
          <w:szCs w:val="28"/>
        </w:rPr>
        <w:t>“w sprawie ochrony przeciwpożarowej budynków, innych obiektów budowlanych i terenów”</w:t>
      </w:r>
      <w:r>
        <w:rPr>
          <w:sz w:val="22"/>
          <w:szCs w:val="28"/>
        </w:rPr>
        <w:t xml:space="preserve">  w części -  “Zabezpieczenie przeciwpożarowe lasów” określono przepisy dotyczące ochrony przeciwpożarowej lasów</w:t>
      </w:r>
    </w:p>
    <w:p w14:paraId="22072AD5" w14:textId="77777777" w:rsidR="00891982" w:rsidRDefault="00CF7730">
      <w:pPr>
        <w:pStyle w:val="Tekstpodstawowy"/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“1. Lasy położone przy obiektach mogących stanowić zagrożenie pożarowe dla lasu oddziela się od tych obiektów pasami przeciwpożarowymi, utrzymywanymi w stanie zapewniającym ich użyteczność przez cały rok.</w:t>
      </w:r>
    </w:p>
    <w:p w14:paraId="0802F5D7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2.  Rodzaje oraz sposoby wykonywania pasów przeciwpożarowych przez podmioty określone jako właściwe do ich wykonania i utrzymywania w: ustawie z dnia 28 września 1991 r. o lasach (Dz. U. z 2005 r. Nr 45, poz. 435, z późn. zm.4)), ustawie z dnia 28 marca 2003 r. o transporcie kolejowym (Dz. U. z 2007 r. Nr 16, poz. 94, z późn. zm.5)) oraz ustawie z dnia 24 sierpnia 1991 r. o ochronie przeciwpożarowej określają:</w:t>
      </w:r>
    </w:p>
    <w:p w14:paraId="749DDF04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1)rozporządzenie Ministra Środowiska z dnia 22 marca 2006 r. w sprawie szczegółowych zasad zabezpieczenia przeciwpożarowego lasów (t.j. Dz.U. z 2022 r. poz. 1065);</w:t>
      </w:r>
    </w:p>
    <w:p w14:paraId="67819935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2)rozporządzenie Ministra Infrastruktury z dnia 7 sierpnia 2008 r. w sprawie wymagań w zakresie odległości i warunków dopuszczających usytuowanie drzew i krzewów, elementów ochrony akustycznej i wykonywania robót ziemnych w sąsiedztwie linii kolejowej, a także sposobu urządzania i utrzymywania zasłon odśnieżnych oraz pasów przeciwpożarowych (t.j. Dz.U. z 2020 r. poz. 1247).</w:t>
      </w:r>
    </w:p>
    <w:p w14:paraId="71DF70B9" w14:textId="77777777" w:rsidR="00891982" w:rsidRDefault="00CF7730">
      <w:pPr>
        <w:widowControl/>
        <w:spacing w:after="40" w:line="240" w:lineRule="auto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.Przepis ust. 2 nie dotyczy:</w:t>
      </w:r>
    </w:p>
    <w:p w14:paraId="23F46DAF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1)lasów zaliczonych do III kategorii zagrożenia pożarowego;</w:t>
      </w:r>
    </w:p>
    <w:p w14:paraId="73208B71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2)drzewostanów starszych niż 30 lat położonych przy drogach publicznych i parkingach oraz drzewostanów położonych przy drogach o nawierzchni nieutwardzonej, z wyjątkiem dróg poligonowych i międzypoligonowych;</w:t>
      </w:r>
    </w:p>
    <w:p w14:paraId="42926915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3)lasów o szerokości mniejszej niż 200 m.”</w:t>
      </w:r>
    </w:p>
    <w:p w14:paraId="05D62E5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4BD5033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Na podstawie rozporządzenia  Ministra Środowiska</w:t>
      </w:r>
      <w:r>
        <w:rPr>
          <w:b/>
          <w:sz w:val="22"/>
          <w:szCs w:val="28"/>
        </w:rPr>
        <w:t xml:space="preserve">  </w:t>
      </w:r>
      <w:r>
        <w:rPr>
          <w:sz w:val="22"/>
          <w:szCs w:val="28"/>
        </w:rPr>
        <w:t xml:space="preserve">z dnia 22 marca 2006r. </w:t>
      </w:r>
      <w:r>
        <w:rPr>
          <w:b/>
          <w:sz w:val="22"/>
          <w:szCs w:val="28"/>
        </w:rPr>
        <w:t>“w sprawie szczegółowych zasad zabezpieczenia przeciwpożarowego lasów”</w:t>
      </w:r>
    </w:p>
    <w:p w14:paraId="6DBA60A8" w14:textId="77777777" w:rsidR="00891982" w:rsidRDefault="00CF7730">
      <w:pPr>
        <w:keepNext/>
        <w:keepLines/>
        <w:widowControl/>
        <w:spacing w:before="120" w:after="60" w:line="240" w:lineRule="auto"/>
        <w:rPr>
          <w:rFonts w:ascii="Arial Narrow" w:hAnsi="Arial Narrow" w:cs="Arial Narrow"/>
          <w:sz w:val="28"/>
          <w:szCs w:val="28"/>
        </w:rPr>
      </w:pPr>
      <w:r>
        <w:rPr>
          <w:b/>
          <w:sz w:val="23"/>
          <w:szCs w:val="28"/>
        </w:rPr>
        <w:t>wyróżnia się cztery podstawowe rodzaje pasów przeciwpożarowych wykonywanych następującymi sposobami:</w:t>
      </w:r>
    </w:p>
    <w:p w14:paraId="221B0CB6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2C36961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 xml:space="preserve">1)  pas przeciwpożarowy typu A - oddzielający las od dróg publicznych, dróg dojazdowych niebędących drogami publicznymi do zakładu przemysłowego lub magazynowego, obiektów </w:t>
      </w:r>
      <w:r>
        <w:rPr>
          <w:sz w:val="22"/>
          <w:szCs w:val="24"/>
        </w:rPr>
        <w:lastRenderedPageBreak/>
        <w:t>magazynowych i użyteczności publicznej pas gruntu o szerokości 30 m, przyległy do granicy pasa drogowego albo obiektu, pozbawiony martwych drzew, leżących gałęzi i nieokrzesanych ściętych lub powalonych drzew;</w:t>
      </w:r>
    </w:p>
    <w:p w14:paraId="1DAE57C0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  2)  pas przeciwpożarowy typu B - oddzielający las od parkingów, zakładów przemysłowych i dróg poligonowych pas gruntu o szerokości 30 m, przyległy do granicy obiektu albo drogi, spełniający wymogi, o których mowa w pkt 1, z tym że w odległości od 2 do 5 m od granicy obiektu albo drogi zakłada się bruzdę o szerokości 2 m oczyszczoną do warstwy mineralnej; bruzdę może stanowić inna powierzchnia pozbawiona materiałów palnych;</w:t>
      </w:r>
    </w:p>
    <w:p w14:paraId="44692C5B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  3)  pas przeciwpożarowy typu C - oddzielający las od obiektów na terenach poligonów wojskowych pas gruntu o szerokości od 30 do 100 m, przyległy do granicy obiektu, spełniający wymogi, o których mowa w pkt 1, z tym że bezpośrednio przy obiekcie zakłada się bruzdę o szerokości od 5 do 30 m oczyszczoną do warstwy mineralnej;</w:t>
      </w:r>
    </w:p>
    <w:p w14:paraId="11D7741B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  4)  pas przeciwpożarowy typu D - rozdzielający duże zwarte obszary leśne pas gruntu o szerokości od 30 do 100 m, spełniający wymogi, o których mowa w pkt 1, z bruzdą o szerokości od 3 do 30 m oczyszczoną do warstwy mineralnej; pasy rozdzielające zwarte obszary leśne zakłada się wzdłuż wytypowanych dróg, umożliwiających prowadzenie działań ratowniczych, a drzewostany na tym pasie muszą mieć udział ponad 50 % gatunków liściastych.</w:t>
      </w:r>
    </w:p>
    <w:p w14:paraId="118DE982" w14:textId="77777777" w:rsidR="00891982" w:rsidRDefault="00CF7730">
      <w:pPr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 xml:space="preserve">           Szczegółowych ustaleń dotyczących wykonania pasów, o których mowa w  pkt 3, dokonują zarządcy lasów w uzgodnieniu z właściwymi terytorialnie kierownikami jednostek podległych i nadzorowanych przez Ministra Obrony Narodowej.</w:t>
      </w:r>
    </w:p>
    <w:p w14:paraId="0C43CE76" w14:textId="77777777" w:rsidR="00891982" w:rsidRDefault="00CF7730">
      <w:pPr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 xml:space="preserve">           Szczegółowych ustaleń dotyczących wykonania pasów, o których mowa w  pkt 4, dokonują zarządcy lasów w uzgodnieniu z właściwym miejscowo komendantem wojewódzkim Państwowej Straży Pożarnej.</w:t>
      </w:r>
    </w:p>
    <w:p w14:paraId="20543B1E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4"/>
        </w:rPr>
        <w:t xml:space="preserve">           W wypadkach szczególnego zagrożenia pożarowego dla lasów można urządzać inne rodzaje pasów przeciwpożarowych, zgodnie z zasadami gospodarki leśnej.</w:t>
      </w:r>
    </w:p>
    <w:p w14:paraId="5A6CB4DB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7630FED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8"/>
        </w:rPr>
        <w:t xml:space="preserve">        § 40 rozporządzenia Ministra Spraw Wewnętrznych i Administracji z dnia 7 czerwca 2010 r. w sprawie ochrony przeciwpożarowej budynków, innych obiektów budowlanych i terenów określa zasady podstawowego bezpieczeństwa przeciwpożarowego:</w:t>
      </w:r>
    </w:p>
    <w:p w14:paraId="4E66ACD2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4"/>
        </w:rPr>
        <w:t xml:space="preserve">        “1. w lasach i na terenach śródleśnych, na obszarze łąk, torfowisk i wrzosowisk, jak również w odległości do 100 m od granicy lasów nie jest dopuszczalne wykonywanie czynności mogących wywołać niebezpieczeństwo pożaru: </w:t>
      </w:r>
    </w:p>
    <w:p w14:paraId="5400D732" w14:textId="77777777" w:rsidR="00891982" w:rsidRDefault="00CF7730">
      <w:pPr>
        <w:pStyle w:val="Tekstpodstawowy"/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1) rozniecanie ognia poza miejscami wyznaczonymi do tego celu przez właściciela lub zarządcę lasu;</w:t>
      </w:r>
    </w:p>
    <w:p w14:paraId="3F4C6A03" w14:textId="77777777" w:rsidR="00891982" w:rsidRDefault="00CF7730">
      <w:pPr>
        <w:pStyle w:val="Tekstpodstawowy"/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2) palenie tytoniu, z wyjątkiem miejsc na drogach utwardzonych i miejsc wyznaczonych do pobytu ludzi.</w:t>
      </w:r>
    </w:p>
    <w:p w14:paraId="718BCE8D" w14:textId="77777777" w:rsidR="00891982" w:rsidRDefault="00CF7730">
      <w:pPr>
        <w:pStyle w:val="Tekstpodstawowy"/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Wyjątek od zakazu rozniecania ognia dla czynności związanych z gospodarką leśną, wykonywaniem robót budowlanych lub eksploatacją kopalni ma zastosowanie wyłącznie wtedy, gdy czynności te są wykonywane w porozumieniu z właścicielem lub zarządcą lasu (§ 40 ust. 2).</w:t>
      </w:r>
    </w:p>
    <w:p w14:paraId="1B7FF2C8" w14:textId="77777777" w:rsidR="00891982" w:rsidRDefault="00891982">
      <w:pPr>
        <w:pStyle w:val="Tekstpodstawowy"/>
        <w:spacing w:after="0" w:line="40" w:lineRule="exact"/>
        <w:rPr>
          <w:rFonts w:ascii="Arial Narrow" w:hAnsi="Arial Narrow" w:cs="Arial Narrow"/>
          <w:szCs w:val="24"/>
        </w:rPr>
      </w:pPr>
    </w:p>
    <w:p w14:paraId="1691AA5E" w14:textId="77777777" w:rsidR="00891982" w:rsidRDefault="00CF7730">
      <w:pPr>
        <w:pStyle w:val="Tekstpodstawowy"/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ZAWARTOŚĆ UPROSZCZONEGO PLANU URZĄDZENIA LASU:</w:t>
      </w:r>
    </w:p>
    <w:p w14:paraId="6D41851A" w14:textId="77777777" w:rsidR="00891982" w:rsidRDefault="00CF7730">
      <w:pPr>
        <w:keepNext/>
        <w:keepLines/>
        <w:widowControl/>
        <w:spacing w:before="80" w:after="40" w:line="240" w:lineRule="auto"/>
        <w:rPr>
          <w:rFonts w:ascii="Arial Narrow" w:hAnsi="Arial Narrow" w:cs="Arial Narrow"/>
          <w:sz w:val="28"/>
          <w:szCs w:val="28"/>
        </w:rPr>
      </w:pPr>
      <w:r>
        <w:rPr>
          <w:b/>
          <w:sz w:val="23"/>
          <w:szCs w:val="28"/>
        </w:rPr>
        <w:t xml:space="preserve"> W skład uproszczonego planu urządzania lasu wchodzą :</w:t>
      </w:r>
    </w:p>
    <w:p w14:paraId="059C360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54D25116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1.</w:t>
      </w:r>
      <w:r>
        <w:rPr>
          <w:sz w:val="22"/>
        </w:rPr>
        <w:tab/>
        <w:t>Opis ogólny,</w:t>
      </w:r>
    </w:p>
    <w:p w14:paraId="237D93F5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2.</w:t>
      </w:r>
      <w:r>
        <w:rPr>
          <w:sz w:val="22"/>
        </w:rPr>
        <w:tab/>
        <w:t>Zestawienie powierzchni gruntów i miąższości drzewostanu wg gatunków panujących  (głównych) wg klas i podklas wieku,</w:t>
      </w:r>
    </w:p>
    <w:p w14:paraId="23A1E51D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3.</w:t>
      </w:r>
      <w:r>
        <w:rPr>
          <w:sz w:val="22"/>
        </w:rPr>
        <w:tab/>
        <w:t>Opisy taksacyjne lasu i gruntów przeznaczonych do zalesienia,</w:t>
      </w:r>
    </w:p>
    <w:p w14:paraId="14DF4B7A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4.</w:t>
      </w:r>
      <w:r>
        <w:rPr>
          <w:sz w:val="22"/>
        </w:rPr>
        <w:tab/>
        <w:t>Zestawienie czynności gospodarczych projektowanych na 10 lat,</w:t>
      </w:r>
    </w:p>
    <w:p w14:paraId="555F34CD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5.</w:t>
      </w:r>
      <w:r>
        <w:rPr>
          <w:sz w:val="22"/>
        </w:rPr>
        <w:tab/>
        <w:t>Wykaz d-stanów do przebudowy (negatywnych i źle produkujących),</w:t>
      </w:r>
    </w:p>
    <w:p w14:paraId="40798021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</w:rPr>
      </w:pPr>
      <w:r>
        <w:rPr>
          <w:sz w:val="22"/>
        </w:rPr>
        <w:t>6.</w:t>
      </w:r>
      <w:r>
        <w:rPr>
          <w:sz w:val="22"/>
        </w:rPr>
        <w:tab/>
        <w:t>Zestawienie pow. leśnych nie zalesionych,</w:t>
      </w:r>
    </w:p>
    <w:p w14:paraId="10353BCC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7.</w:t>
      </w:r>
      <w:r>
        <w:rPr>
          <w:sz w:val="22"/>
        </w:rPr>
        <w:tab/>
        <w:t>Rejestr działek leśnych i wskazania gospodarcze w zakresie gospodarki leśnej,</w:t>
      </w:r>
    </w:p>
    <w:p w14:paraId="6543B15C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8.</w:t>
      </w:r>
      <w:r>
        <w:rPr>
          <w:sz w:val="22"/>
        </w:rPr>
        <w:tab/>
        <w:t>Skorowidz działek leśnych,</w:t>
      </w:r>
    </w:p>
    <w:p w14:paraId="70F815B9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9.</w:t>
      </w:r>
      <w:r>
        <w:rPr>
          <w:sz w:val="22"/>
        </w:rPr>
        <w:tab/>
        <w:t>Wykaz rozbieżności między ewidencją gruntów a stanem faktycznym.</w:t>
      </w:r>
    </w:p>
    <w:p w14:paraId="78664B58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10.</w:t>
      </w:r>
      <w:r>
        <w:rPr>
          <w:sz w:val="22"/>
        </w:rPr>
        <w:tab/>
        <w:t>Wykaz skrótów i symboli,</w:t>
      </w:r>
    </w:p>
    <w:p w14:paraId="076579F7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11.</w:t>
      </w:r>
      <w:r>
        <w:rPr>
          <w:sz w:val="22"/>
        </w:rPr>
        <w:tab/>
        <w:t>Mapa gospodarcza lasu i gruntów przeznaczonych do zalesienia.</w:t>
      </w:r>
    </w:p>
    <w:p w14:paraId="5B04AA1B" w14:textId="77777777" w:rsidR="00891982" w:rsidRDefault="00CF7730">
      <w:pPr>
        <w:spacing w:after="0" w:line="40" w:lineRule="exact"/>
        <w:ind w:left="283"/>
        <w:jc w:val="both"/>
        <w:rPr>
          <w:rFonts w:ascii="Arial Narrow" w:hAnsi="Arial Narrow" w:cs="Arial Narrow"/>
          <w:sz w:val="28"/>
          <w:szCs w:val="28"/>
        </w:rPr>
      </w:pPr>
      <w:r>
        <w:rPr>
          <w:rFonts w:ascii="Arial Narrow" w:hAnsi="Arial Narrow" w:cs="Arial Narrow"/>
          <w:sz w:val="28"/>
          <w:szCs w:val="28"/>
        </w:rPr>
        <w:t xml:space="preserve"> </w:t>
      </w:r>
    </w:p>
    <w:p w14:paraId="5CFEC28C" w14:textId="77777777" w:rsidR="00891982" w:rsidRDefault="00891982">
      <w:pPr>
        <w:spacing w:after="0" w:line="40" w:lineRule="exact"/>
        <w:jc w:val="both"/>
        <w:rPr>
          <w:rFonts w:ascii="Arial Narrow" w:hAnsi="Arial Narrow" w:cs="Arial Narrow"/>
          <w:sz w:val="28"/>
          <w:szCs w:val="28"/>
        </w:rPr>
      </w:pPr>
    </w:p>
    <w:p w14:paraId="347A4E8D" w14:textId="77777777" w:rsidR="00891982" w:rsidRDefault="00CF7730">
      <w:pPr>
        <w:widowControl/>
        <w:spacing w:after="20" w:line="240" w:lineRule="auto"/>
      </w:pPr>
      <w:r>
        <w:rPr>
          <w:sz w:val="22"/>
        </w:rPr>
        <w:t>Uproszczony plan urządzania lasu sporządzono w 3 egzemplarzach.</w:t>
      </w:r>
    </w:p>
    <w:sectPr w:rsidR="00891982">
      <w:headerReference w:type="default" r:id="rId7"/>
      <w:footerReference w:type="default" r:id="rId8"/>
      <w:pgSz w:w="11906" w:h="16838"/>
      <w:pgMar w:top="992" w:right="1020" w:bottom="935" w:left="1020" w:header="425" w:footer="425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5E39" w14:textId="77777777" w:rsidR="003A31CB" w:rsidRDefault="003A31CB">
      <w:pPr>
        <w:spacing w:after="0" w:line="240" w:lineRule="auto"/>
      </w:pPr>
      <w:r>
        <w:separator/>
      </w:r>
    </w:p>
  </w:endnote>
  <w:endnote w:type="continuationSeparator" w:id="0">
    <w:p w14:paraId="34EE43CD" w14:textId="77777777" w:rsidR="003A31CB" w:rsidRDefault="003A3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ans">
    <w:panose1 w:val="020B0502040504020204"/>
    <w:charset w:val="EE"/>
    <w:family w:val="swiss"/>
    <w:pitch w:val="variable"/>
    <w:sig w:usb0="E00002FF" w:usb1="4000201F" w:usb2="08000029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 Mincho Light J;Times New Rom">
    <w:panose1 w:val="00000000000000000000"/>
    <w:charset w:val="00"/>
    <w:family w:val="roman"/>
    <w:notTrueType/>
    <w:pitch w:val="default"/>
  </w:font>
  <w:font w:name="StarSymbol;Segoe UI Symbol">
    <w:panose1 w:val="00000000000000000000"/>
    <w:charset w:val="00"/>
    <w:family w:val="roman"/>
    <w:notTrueType/>
    <w:pitch w:val="default"/>
  </w:font>
  <w:font w:name="Albany;Arial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4612" w14:textId="77777777" w:rsidR="00891982" w:rsidRDefault="008919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A60DD" w14:textId="77777777" w:rsidR="003A31CB" w:rsidRDefault="003A31CB">
      <w:pPr>
        <w:spacing w:after="0" w:line="240" w:lineRule="auto"/>
      </w:pPr>
      <w:r>
        <w:separator/>
      </w:r>
    </w:p>
  </w:footnote>
  <w:footnote w:type="continuationSeparator" w:id="0">
    <w:p w14:paraId="09FC9813" w14:textId="77777777" w:rsidR="003A31CB" w:rsidRDefault="003A3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2C93E" w14:textId="77777777" w:rsidR="00891982" w:rsidRDefault="0089198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549"/>
    <w:multiLevelType w:val="multilevel"/>
    <w:tmpl w:val="94006C2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661B01"/>
    <w:multiLevelType w:val="multilevel"/>
    <w:tmpl w:val="D5CECA42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B2074A"/>
    <w:multiLevelType w:val="multilevel"/>
    <w:tmpl w:val="880A7792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4E767BC"/>
    <w:multiLevelType w:val="multilevel"/>
    <w:tmpl w:val="A768DDD8"/>
    <w:lvl w:ilvl="0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Arial Narrow" w:hAnsi="Arial Narrow" w:cs="Arial Narrow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4FB5EE6"/>
    <w:multiLevelType w:val="multilevel"/>
    <w:tmpl w:val="D946CEAE"/>
    <w:lvl w:ilvl="0">
      <w:start w:val="1"/>
      <w:numFmt w:val="decimal"/>
      <w:lvlText w:val="%1."/>
      <w:lvlJc w:val="left"/>
      <w:pPr>
        <w:tabs>
          <w:tab w:val="num" w:pos="627"/>
        </w:tabs>
        <w:ind w:left="627" w:hanging="360"/>
      </w:pPr>
      <w:rPr>
        <w:rFonts w:ascii="Arial" w:hAnsi="Arial" w:cs="Arial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987"/>
        </w:tabs>
        <w:ind w:left="987" w:hanging="360"/>
      </w:pPr>
      <w:rPr>
        <w:rFonts w:ascii="Arial" w:hAnsi="Arial" w:cs="Arial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347"/>
        </w:tabs>
        <w:ind w:left="1347" w:hanging="360"/>
      </w:pPr>
      <w:rPr>
        <w:rFonts w:ascii="Arial" w:hAnsi="Arial" w:cs="Arial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707"/>
        </w:tabs>
        <w:ind w:left="1707" w:hanging="360"/>
      </w:pPr>
      <w:rPr>
        <w:rFonts w:ascii="Arial" w:hAnsi="Arial" w:cs="Arial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067"/>
        </w:tabs>
        <w:ind w:left="2067" w:hanging="360"/>
      </w:pPr>
      <w:rPr>
        <w:rFonts w:ascii="Arial" w:hAnsi="Arial" w:cs="Arial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427"/>
        </w:tabs>
        <w:ind w:left="2427" w:hanging="360"/>
      </w:pPr>
      <w:rPr>
        <w:rFonts w:ascii="Arial" w:hAnsi="Arial" w:cs="Arial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787"/>
        </w:tabs>
        <w:ind w:left="2787" w:hanging="360"/>
      </w:pPr>
      <w:rPr>
        <w:rFonts w:ascii="Arial" w:hAnsi="Arial" w:cs="Arial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147"/>
        </w:tabs>
        <w:ind w:left="3147" w:hanging="360"/>
      </w:pPr>
      <w:rPr>
        <w:rFonts w:ascii="Arial" w:hAnsi="Arial" w:cs="Arial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507"/>
        </w:tabs>
        <w:ind w:left="3507" w:hanging="360"/>
      </w:pPr>
      <w:rPr>
        <w:rFonts w:ascii="Arial" w:hAnsi="Arial" w:cs="Arial"/>
        <w:sz w:val="28"/>
        <w:szCs w:val="28"/>
      </w:rPr>
    </w:lvl>
  </w:abstractNum>
  <w:abstractNum w:abstractNumId="5" w15:restartNumberingAfterBreak="0">
    <w:nsid w:val="62B576A1"/>
    <w:multiLevelType w:val="multilevel"/>
    <w:tmpl w:val="8F4281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B914C03"/>
    <w:multiLevelType w:val="multilevel"/>
    <w:tmpl w:val="AAC02F58"/>
    <w:lvl w:ilvl="0">
      <w:start w:val="3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num w:numId="1" w16cid:durableId="68625573">
    <w:abstractNumId w:val="1"/>
  </w:num>
  <w:num w:numId="2" w16cid:durableId="965043051">
    <w:abstractNumId w:val="0"/>
  </w:num>
  <w:num w:numId="3" w16cid:durableId="1389717962">
    <w:abstractNumId w:val="2"/>
  </w:num>
  <w:num w:numId="4" w16cid:durableId="1047872214">
    <w:abstractNumId w:val="3"/>
  </w:num>
  <w:num w:numId="5" w16cid:durableId="448090326">
    <w:abstractNumId w:val="6"/>
  </w:num>
  <w:num w:numId="6" w16cid:durableId="2107383703">
    <w:abstractNumId w:val="4"/>
  </w:num>
  <w:num w:numId="7" w16cid:durableId="2133204890">
    <w:abstractNumId w:val="5"/>
  </w:num>
  <w:num w:numId="8" w16cid:durableId="2142376659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doNotBreakWrappedTables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891982"/>
    <w:rsid w:val="001D142B"/>
    <w:rsid w:val="0024125F"/>
    <w:rsid w:val="003A31CB"/>
    <w:rsid w:val="00891982"/>
    <w:rsid w:val="00930648"/>
    <w:rsid w:val="00CF7730"/>
    <w:rsid w:val="00D1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14BCE"/>
  <w15:docId w15:val="{620165FA-4F6C-4163-8A96-3E4234CF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pacing w:after="70" w:line="252" w:lineRule="auto"/>
    </w:pPr>
    <w:rPr>
      <w:rFonts w:ascii="Arial" w:eastAsia="Arial" w:hAnsi="Arial" w:cs="Arial"/>
      <w:color w:val="000000"/>
      <w:szCs w:val="20"/>
      <w:lang w:val="pl-PL" w:bidi="ar-SA"/>
    </w:rPr>
  </w:style>
  <w:style w:type="paragraph" w:styleId="Nagwek1">
    <w:name w:val="heading 1"/>
    <w:basedOn w:val="Normalny"/>
    <w:next w:val="Normalny"/>
    <w:uiPriority w:val="9"/>
    <w:qFormat/>
    <w:pPr>
      <w:keepNext/>
      <w:numPr>
        <w:numId w:val="1"/>
      </w:numPr>
      <w:outlineLvl w:val="0"/>
    </w:pPr>
    <w:rPr>
      <w:b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qFormat/>
    <w:rPr>
      <w:rFonts w:ascii="Arial Narrow" w:hAnsi="Arial Narrow" w:cs="Arial Narrow"/>
    </w:rPr>
  </w:style>
  <w:style w:type="character" w:customStyle="1" w:styleId="WW8Num6z0">
    <w:name w:val="WW8Num6z0"/>
    <w:qFormat/>
    <w:rPr>
      <w:rFonts w:ascii="Arial" w:hAnsi="Arial" w:cs="Arial"/>
      <w:sz w:val="28"/>
      <w:szCs w:val="28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Domylnaczcionkaakapitu4">
    <w:name w:val="Domyślna czcionka akapitu4"/>
    <w:qFormat/>
  </w:style>
  <w:style w:type="character" w:customStyle="1" w:styleId="WW8Num7z0">
    <w:name w:val="WW8Num7z0"/>
    <w:qFormat/>
    <w:rPr>
      <w:rFonts w:ascii="Symbol" w:hAnsi="Symbol" w:cs="Symbol"/>
      <w:sz w:val="28"/>
      <w:szCs w:val="28"/>
    </w:r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8Num5z0">
    <w:name w:val="WW8Num5z0"/>
    <w:qFormat/>
    <w:rPr>
      <w:rFonts w:ascii="Symbol" w:hAnsi="Symbol" w:cs="Symbol"/>
      <w:sz w:val="18"/>
    </w:rPr>
  </w:style>
  <w:style w:type="character" w:customStyle="1" w:styleId="Domylnaczcionkaakapitu3">
    <w:name w:val="Domyślna czcionka akapitu3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Domylnaczcionkaakapitu2">
    <w:name w:val="Domyślna czcionka akapitu2"/>
    <w:qFormat/>
  </w:style>
  <w:style w:type="character" w:customStyle="1" w:styleId="Domylnaczcionkaakapitu1">
    <w:name w:val="Domyślna czcionka akapitu1"/>
    <w:qFormat/>
  </w:style>
  <w:style w:type="character" w:customStyle="1" w:styleId="WW-Domylnaczcionkaakapitu">
    <w:name w:val="WW-Domyślna czcionka akapitu"/>
    <w:qFormat/>
  </w:style>
  <w:style w:type="character" w:customStyle="1" w:styleId="WW8Num4z0">
    <w:name w:val="WW8Num4z0"/>
    <w:qFormat/>
    <w:rPr>
      <w:rFonts w:ascii="Arial Narrow" w:eastAsia="HG Mincho Light J;Times New Rom" w:hAnsi="Arial Narrow" w:cs="Arial Narrow"/>
    </w:rPr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Znakinumeracji">
    <w:name w:val="Znaki numeracji"/>
    <w:qFormat/>
    <w:rPr>
      <w:rFonts w:ascii="Arial" w:hAnsi="Arial" w:cs="Arial"/>
      <w:sz w:val="28"/>
      <w:szCs w:val="28"/>
    </w:rPr>
  </w:style>
  <w:style w:type="character" w:customStyle="1" w:styleId="WW-Znakinumeracji">
    <w:name w:val="WW-Znaki numeracji"/>
    <w:qFormat/>
  </w:style>
  <w:style w:type="character" w:customStyle="1" w:styleId="WW-Domylnaczcionkaakapitu1">
    <w:name w:val="WW-Domyślna czcionka akapitu1"/>
    <w:qFormat/>
  </w:style>
  <w:style w:type="character" w:customStyle="1" w:styleId="WW-Znakinumeracji1">
    <w:name w:val="WW-Znaki numeracji1"/>
    <w:qFormat/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Znakiprzypiswdolnych">
    <w:name w:val="Znaki przypisów dolnych"/>
    <w:qFormat/>
  </w:style>
  <w:style w:type="character" w:customStyle="1" w:styleId="Znakiprzypiswkocowych">
    <w:name w:val="Znaki przypisów końcowych"/>
    <w:qFormat/>
  </w:style>
  <w:style w:type="character" w:customStyle="1" w:styleId="Symbolewypunktowania">
    <w:name w:val="Symbole wypunktowania"/>
    <w:qFormat/>
    <w:rPr>
      <w:rFonts w:ascii="StarSymbol;Segoe UI Symbol" w:eastAsia="StarSymbol;Segoe UI Symbol" w:hAnsi="StarSymbol;Segoe UI Symbol" w:cs="StarSymbol;Segoe UI Symbol"/>
      <w:sz w:val="18"/>
    </w:rPr>
  </w:style>
  <w:style w:type="character" w:styleId="Hipercze">
    <w:name w:val="Hyperlink"/>
    <w:rPr>
      <w:color w:val="000080"/>
      <w:u w:val="single"/>
    </w:rPr>
  </w:style>
  <w:style w:type="character" w:customStyle="1" w:styleId="WW-WW8Num4z0">
    <w:name w:val="WW-WW8Num4z0"/>
    <w:qFormat/>
    <w:rPr>
      <w:rFonts w:ascii="Arial Narrow" w:hAnsi="Arial Narrow" w:cs="Arial Narrow"/>
    </w:rPr>
  </w:style>
  <w:style w:type="character" w:customStyle="1" w:styleId="WW-WW8Num7z0">
    <w:name w:val="WW-WW8Num7z0"/>
    <w:qFormat/>
    <w:rPr>
      <w:rFonts w:ascii="Symbol" w:hAnsi="Symbol" w:cs="Symbol"/>
      <w:sz w:val="18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lbany;Arial" w:eastAsia="HG Mincho Light J;Times New Rom" w:hAnsi="Albany;Arial" w:cs="Albany;Arial"/>
      <w:sz w:val="28"/>
    </w:rPr>
  </w:style>
  <w:style w:type="paragraph" w:styleId="Tekstpodstawowy">
    <w:name w:val="Body Text"/>
    <w:basedOn w:val="Normalny"/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  <w:szCs w:val="24"/>
    </w:rPr>
  </w:style>
  <w:style w:type="paragraph" w:customStyle="1" w:styleId="Index">
    <w:name w:val="Index"/>
    <w:basedOn w:val="Normalny"/>
    <w:qFormat/>
    <w:pPr>
      <w:suppressLineNumbers/>
    </w:pPr>
  </w:style>
  <w:style w:type="paragraph" w:customStyle="1" w:styleId="Podpis4">
    <w:name w:val="Podpis4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ks">
    <w:name w:val="Indeks"/>
    <w:basedOn w:val="Normalny"/>
    <w:qFormat/>
    <w:pPr>
      <w:suppressLineNumbers/>
    </w:pPr>
  </w:style>
  <w:style w:type="paragraph" w:customStyle="1" w:styleId="Nagwek4">
    <w:name w:val="Nagłówek4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3">
    <w:name w:val="Podpis3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3">
    <w:name w:val="Nagłówek3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2">
    <w:name w:val="Podpis2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2">
    <w:name w:val="Nagłówek2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1">
    <w:name w:val="Podpis1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10">
    <w:name w:val="Nagłówek1"/>
    <w:basedOn w:val="Normalny"/>
    <w:next w:val="Tekstpodstawowy"/>
    <w:qFormat/>
    <w:pPr>
      <w:keepNext/>
      <w:spacing w:before="240" w:after="120"/>
    </w:pPr>
    <w:rPr>
      <w:rFonts w:eastAsia="Arial Unicode MS" w:cs="Tahoma"/>
      <w:sz w:val="28"/>
      <w:szCs w:val="28"/>
    </w:rPr>
  </w:style>
  <w:style w:type="paragraph" w:customStyle="1" w:styleId="WW-Tytu">
    <w:name w:val="WW-Tytuł"/>
    <w:basedOn w:val="Normalny"/>
    <w:next w:val="Tekstpodstawowy"/>
    <w:qFormat/>
    <w:pPr>
      <w:keepNext/>
      <w:spacing w:before="240" w:after="120"/>
    </w:pPr>
    <w:rPr>
      <w:rFonts w:ascii="Albany;Arial" w:eastAsia="HG Mincho Light J;Times New Rom" w:hAnsi="Albany;Arial" w:cs="Albany;Arial"/>
      <w:sz w:val="28"/>
    </w:rPr>
  </w:style>
  <w:style w:type="paragraph" w:styleId="Podtytu">
    <w:name w:val="Subtitle"/>
    <w:basedOn w:val="WW-Tytu"/>
    <w:next w:val="Tekstpodstawowy"/>
    <w:uiPriority w:val="11"/>
    <w:qFormat/>
    <w:pPr>
      <w:jc w:val="center"/>
    </w:pPr>
    <w:rPr>
      <w:i/>
    </w:rPr>
  </w:style>
  <w:style w:type="paragraph" w:styleId="Podpis">
    <w:name w:val="Signature"/>
    <w:basedOn w:val="Normalny"/>
    <w:pPr>
      <w:suppressLineNumbers/>
      <w:spacing w:before="120" w:after="120"/>
    </w:pPr>
    <w:rPr>
      <w:i/>
      <w:sz w:val="20"/>
    </w:rPr>
  </w:style>
  <w:style w:type="paragraph" w:customStyle="1" w:styleId="HeaderandFooter">
    <w:name w:val="Header and Footer"/>
    <w:basedOn w:val="Normalny"/>
    <w:qFormat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Normalny"/>
    <w:next w:val="Tekstpodstawowy"/>
    <w:pPr>
      <w:keepNext/>
      <w:spacing w:before="240" w:after="120"/>
    </w:pPr>
    <w:rPr>
      <w:rFonts w:eastAsia="Arial Unicode MS"/>
      <w:sz w:val="28"/>
    </w:rPr>
  </w:style>
  <w:style w:type="paragraph" w:customStyle="1" w:styleId="Zawartotabeli">
    <w:name w:val="Zawartość tabeli"/>
    <w:basedOn w:val="Tekstpodstawowy"/>
    <w:qFormat/>
    <w:pPr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i/>
    </w:rPr>
  </w:style>
  <w:style w:type="paragraph" w:customStyle="1" w:styleId="WW-NormalnyWeb">
    <w:name w:val="WW-Normalny (Web)"/>
    <w:basedOn w:val="Normalny"/>
    <w:qFormat/>
    <w:pPr>
      <w:widowControl/>
      <w:suppressAutoHyphens w:val="0"/>
      <w:spacing w:before="100"/>
    </w:pPr>
  </w:style>
  <w:style w:type="paragraph" w:customStyle="1" w:styleId="Tytutabeli">
    <w:name w:val="Tytuł tabeli"/>
    <w:basedOn w:val="Zawartotabeli"/>
    <w:qFormat/>
    <w:pPr>
      <w:jc w:val="center"/>
    </w:pPr>
    <w:rPr>
      <w:b/>
      <w:i/>
    </w:rPr>
  </w:style>
  <w:style w:type="paragraph" w:styleId="Tekstdymka">
    <w:name w:val="Balloon Text"/>
    <w:basedOn w:val="Normalny"/>
    <w:qFormat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ny"/>
    <w:qFormat/>
    <w:pPr>
      <w:widowControl/>
      <w:suppressAutoHyphens w:val="0"/>
      <w:spacing w:before="280" w:after="119"/>
    </w:pPr>
    <w:rPr>
      <w:rFonts w:ascii="Times New Roman" w:eastAsia="Times New Roman" w:hAnsi="Times New Roman" w:cs="Times New Roman"/>
      <w:szCs w:val="24"/>
    </w:rPr>
  </w:style>
  <w:style w:type="paragraph" w:customStyle="1" w:styleId="TableContents">
    <w:name w:val="Table Contents"/>
    <w:basedOn w:val="Normalny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2356</Words>
  <Characters>14137</Characters>
  <Application>Microsoft Office Word</Application>
  <DocSecurity>0</DocSecurity>
  <Lines>117</Lines>
  <Paragraphs>32</Paragraphs>
  <ScaleCrop>false</ScaleCrop>
  <Company/>
  <LinksUpToDate>false</LinksUpToDate>
  <CharactersWithSpaces>16461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 OGÓLNY</dc:title>
  <dc:subject/>
  <dc:creator>Microsoft</dc:creator>
  <cp:keywords/>
  <dc:description/>
  <cp:lastModifiedBy>Cezary Piotrkowicz</cp:lastModifiedBy>
  <cp:revision>4</cp:revision>
  <cp:lastPrinted>2013-07-29T11:54:00Z</cp:lastPrinted>
  <dcterms:created xsi:type="dcterms:W3CDTF">2026-09-21T15:35:00Z</dcterms:created>
  <dcterms:modified xsi:type="dcterms:W3CDTF">2026-09-22T07:21:00Z</dcterms:modified>
  <dc:language>en-US</dc:language>
</cp:coreProperties>
</file>