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B02A" w14:textId="77777777" w:rsidR="00777179" w:rsidRPr="00B55E65" w:rsidRDefault="00000000">
      <w:pPr>
        <w:pStyle w:val="a3"/>
        <w:spacing w:before="120" w:after="0"/>
        <w:rPr>
          <w:rFonts w:ascii="Times New Roman" w:eastAsia="標楷體" w:hAnsi="Times New Roman" w:cs="Times New Roman"/>
          <w:b/>
          <w:sz w:val="40"/>
          <w:szCs w:val="40"/>
        </w:rPr>
      </w:pPr>
      <w:r w:rsidRPr="00B55E65">
        <w:rPr>
          <w:rFonts w:ascii="Times New Roman" w:eastAsia="標楷體" w:hAnsi="Times New Roman" w:cs="Times New Roman"/>
          <w:b/>
          <w:sz w:val="40"/>
          <w:szCs w:val="40"/>
        </w:rPr>
        <w:t>財金蛙挖哇</w:t>
      </w:r>
      <w:r w:rsidRPr="00B55E65">
        <w:rPr>
          <w:rFonts w:ascii="Times New Roman" w:eastAsia="標楷體" w:hAnsi="Times New Roman" w:cs="Times New Roman"/>
          <w:b/>
          <w:sz w:val="40"/>
          <w:szCs w:val="40"/>
        </w:rPr>
        <w:t xml:space="preserve"> </w:t>
      </w:r>
      <w:r w:rsidRPr="00B55E65">
        <w:rPr>
          <w:rFonts w:ascii="Times New Roman" w:eastAsia="標楷體" w:hAnsi="Times New Roman" w:cs="Times New Roman"/>
          <w:b/>
          <w:sz w:val="40"/>
          <w:szCs w:val="40"/>
        </w:rPr>
        <w:t>課程大綱與教學規劃</w:t>
      </w:r>
    </w:p>
    <w:p w14:paraId="03580D3C" w14:textId="77777777" w:rsidR="00777179" w:rsidRPr="003D19EC" w:rsidRDefault="00000000">
      <w:pPr>
        <w:spacing w:before="120" w:after="0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>課程名稱：財金蛙挖哇</w:t>
      </w:r>
    </w:p>
    <w:p w14:paraId="64005F55" w14:textId="77777777" w:rsidR="00777179" w:rsidRPr="003D19EC" w:rsidRDefault="00000000">
      <w:pPr>
        <w:spacing w:before="120" w:after="0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>學分數：</w:t>
      </w:r>
      <w:r w:rsidRPr="003D19EC">
        <w:rPr>
          <w:rFonts w:ascii="Times New Roman" w:eastAsia="標楷體" w:hAnsi="Times New Roman" w:cs="Times New Roman"/>
          <w:sz w:val="24"/>
          <w:szCs w:val="24"/>
        </w:rPr>
        <w:t>3</w:t>
      </w:r>
      <w:r w:rsidRPr="003D19EC">
        <w:rPr>
          <w:rFonts w:ascii="Times New Roman" w:eastAsia="標楷體" w:hAnsi="Times New Roman" w:cs="Times New Roman"/>
          <w:sz w:val="24"/>
          <w:szCs w:val="24"/>
        </w:rPr>
        <w:t>學分</w:t>
      </w:r>
    </w:p>
    <w:p w14:paraId="7D5623FB" w14:textId="77777777" w:rsidR="00777179" w:rsidRPr="003D19EC" w:rsidRDefault="00000000">
      <w:pPr>
        <w:spacing w:before="120" w:after="0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>授課方式：講授、分組討論、時事案例分析、專題簡報</w:t>
      </w:r>
    </w:p>
    <w:p w14:paraId="6CAF47CC" w14:textId="77777777" w:rsidR="00777179" w:rsidRPr="00B55E65" w:rsidRDefault="00000000">
      <w:pPr>
        <w:pStyle w:val="1"/>
        <w:spacing w:before="120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一、課程大綱</w:t>
      </w:r>
    </w:p>
    <w:p w14:paraId="1B624171" w14:textId="77777777" w:rsidR="00777179" w:rsidRPr="003D19EC" w:rsidRDefault="00000000">
      <w:pPr>
        <w:spacing w:before="120" w:after="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>本課程透過當前財經新聞與社會議題，帶領學生討論金融市場、經濟政策、企業發展、數位金融等主題。課程強調「跨域理解」與「多角度思考」，並鼓勵學生將所學應用於日常生活中的消費、投資與理財決策。</w:t>
      </w:r>
    </w:p>
    <w:p w14:paraId="237547EC" w14:textId="77777777" w:rsidR="00777179" w:rsidRPr="00B55E65" w:rsidRDefault="00000000">
      <w:pPr>
        <w:pStyle w:val="1"/>
        <w:jc w:val="both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二、課程目標：</w:t>
      </w:r>
    </w:p>
    <w:p w14:paraId="6554E13A" w14:textId="77777777" w:rsidR="00777179" w:rsidRPr="003D19EC" w:rsidRDefault="00000000">
      <w:pPr>
        <w:spacing w:before="120" w:after="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 xml:space="preserve">1. </w:t>
      </w:r>
      <w:r w:rsidRPr="003D19EC">
        <w:rPr>
          <w:rFonts w:ascii="Times New Roman" w:eastAsia="標楷體" w:hAnsi="Times New Roman" w:cs="Times New Roman"/>
          <w:sz w:val="24"/>
          <w:szCs w:val="24"/>
        </w:rPr>
        <w:t>培養學生對財金時事的敏感度與批判性思維。</w:t>
      </w:r>
    </w:p>
    <w:p w14:paraId="04516CA1" w14:textId="77777777" w:rsidR="00777179" w:rsidRPr="003D19EC" w:rsidRDefault="00000000">
      <w:pPr>
        <w:spacing w:before="120" w:after="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 xml:space="preserve">2. </w:t>
      </w:r>
      <w:r w:rsidRPr="003D19EC">
        <w:rPr>
          <w:rFonts w:ascii="Times New Roman" w:eastAsia="標楷體" w:hAnsi="Times New Roman" w:cs="Times New Roman"/>
          <w:sz w:val="24"/>
          <w:szCs w:val="24"/>
        </w:rPr>
        <w:t>透過跨領域議題（科技、社會、國際、環境等）連結財金觀點，拓展學習視野。</w:t>
      </w:r>
    </w:p>
    <w:p w14:paraId="42C107F2" w14:textId="77777777" w:rsidR="00777179" w:rsidRPr="00B55E65" w:rsidRDefault="00000000">
      <w:pPr>
        <w:spacing w:before="120" w:after="0"/>
        <w:jc w:val="both"/>
        <w:rPr>
          <w:rFonts w:ascii="Times New Roman" w:eastAsia="標楷體" w:hAnsi="Times New Roman" w:cs="Times New Roman"/>
        </w:rPr>
      </w:pPr>
      <w:r w:rsidRPr="003D19EC">
        <w:rPr>
          <w:rFonts w:ascii="Times New Roman" w:eastAsia="標楷體" w:hAnsi="Times New Roman" w:cs="Times New Roman"/>
          <w:sz w:val="24"/>
          <w:szCs w:val="24"/>
        </w:rPr>
        <w:t xml:space="preserve">3. </w:t>
      </w:r>
      <w:r w:rsidRPr="003D19EC">
        <w:rPr>
          <w:rFonts w:ascii="Times New Roman" w:eastAsia="標楷體" w:hAnsi="Times New Roman" w:cs="Times New Roman"/>
          <w:sz w:val="24"/>
          <w:szCs w:val="24"/>
        </w:rPr>
        <w:t>訓練學生資料蒐集、口頭表達與合作討論能力。</w:t>
      </w:r>
    </w:p>
    <w:p w14:paraId="025AB63F" w14:textId="77777777" w:rsidR="00777179" w:rsidRPr="00B55E65" w:rsidRDefault="00000000">
      <w:pPr>
        <w:pStyle w:val="1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三、</w:t>
      </w:r>
      <w:r w:rsidRPr="00B55E65">
        <w:rPr>
          <w:rFonts w:ascii="Times New Roman" w:eastAsia="標楷體" w:hAnsi="Times New Roman" w:cs="Times New Roman"/>
        </w:rPr>
        <w:t>18</w:t>
      </w:r>
      <w:r w:rsidRPr="00B55E65">
        <w:rPr>
          <w:rFonts w:ascii="Times New Roman" w:eastAsia="標楷體" w:hAnsi="Times New Roman" w:cs="Times New Roman"/>
        </w:rPr>
        <w:t>週課程規劃</w:t>
      </w:r>
    </w:p>
    <w:tbl>
      <w:tblPr>
        <w:tblStyle w:val="a5"/>
        <w:tblW w:w="104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2268"/>
        <w:gridCol w:w="2126"/>
        <w:gridCol w:w="2295"/>
        <w:gridCol w:w="2949"/>
      </w:tblGrid>
      <w:tr w:rsidR="00777179" w:rsidRPr="00B55E65" w14:paraId="072A9D26" w14:textId="77777777">
        <w:trPr>
          <w:trHeight w:val="340"/>
          <w:tblHeader/>
        </w:trPr>
        <w:tc>
          <w:tcPr>
            <w:tcW w:w="817" w:type="dxa"/>
            <w:shd w:val="clear" w:color="auto" w:fill="DBE5F1"/>
            <w:vAlign w:val="center"/>
          </w:tcPr>
          <w:p w14:paraId="6D0E2E81" w14:textId="77777777" w:rsidR="00777179" w:rsidRPr="00B55E65" w:rsidRDefault="00000000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B55E65">
              <w:rPr>
                <w:rFonts w:ascii="Times New Roman" w:eastAsia="標楷體" w:hAnsi="Times New Roman" w:cs="Times New Roman"/>
                <w:b/>
              </w:rPr>
              <w:t>週次</w:t>
            </w:r>
          </w:p>
        </w:tc>
        <w:tc>
          <w:tcPr>
            <w:tcW w:w="2268" w:type="dxa"/>
            <w:shd w:val="clear" w:color="auto" w:fill="DBE5F1"/>
            <w:vAlign w:val="center"/>
          </w:tcPr>
          <w:p w14:paraId="541AFDBB" w14:textId="77777777" w:rsidR="00777179" w:rsidRPr="00B55E65" w:rsidRDefault="00000000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B55E65">
              <w:rPr>
                <w:rFonts w:ascii="Times New Roman" w:eastAsia="標楷體" w:hAnsi="Times New Roman" w:cs="Times New Roman"/>
                <w:b/>
              </w:rPr>
              <w:t>主題</w:t>
            </w:r>
          </w:p>
        </w:tc>
        <w:tc>
          <w:tcPr>
            <w:tcW w:w="2126" w:type="dxa"/>
            <w:shd w:val="clear" w:color="auto" w:fill="DBE5F1"/>
            <w:vAlign w:val="center"/>
          </w:tcPr>
          <w:p w14:paraId="2A84CADF" w14:textId="77777777" w:rsidR="00777179" w:rsidRPr="00B55E65" w:rsidRDefault="00000000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B55E65">
              <w:rPr>
                <w:rFonts w:ascii="Times New Roman" w:eastAsia="標楷體" w:hAnsi="Times New Roman" w:cs="Times New Roman"/>
                <w:b/>
              </w:rPr>
              <w:t>新聞案例</w:t>
            </w:r>
            <w:r w:rsidRPr="00B55E65">
              <w:rPr>
                <w:rFonts w:ascii="Times New Roman" w:eastAsia="標楷體" w:hAnsi="Times New Roman" w:cs="Times New Roman"/>
                <w:b/>
              </w:rPr>
              <w:t>/</w:t>
            </w:r>
            <w:r w:rsidRPr="00B55E65">
              <w:rPr>
                <w:rFonts w:ascii="Times New Roman" w:eastAsia="標楷體" w:hAnsi="Times New Roman" w:cs="Times New Roman"/>
                <w:b/>
              </w:rPr>
              <w:t>生活切入</w:t>
            </w:r>
          </w:p>
        </w:tc>
        <w:tc>
          <w:tcPr>
            <w:tcW w:w="2295" w:type="dxa"/>
            <w:shd w:val="clear" w:color="auto" w:fill="DBE5F1"/>
            <w:vAlign w:val="center"/>
          </w:tcPr>
          <w:p w14:paraId="4367A1FB" w14:textId="77777777" w:rsidR="00777179" w:rsidRPr="00B55E65" w:rsidRDefault="00000000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B55E65">
              <w:rPr>
                <w:rFonts w:ascii="Times New Roman" w:eastAsia="標楷體" w:hAnsi="Times New Roman" w:cs="Times New Roman"/>
                <w:b/>
              </w:rPr>
              <w:t>學生可理解的角度</w:t>
            </w:r>
          </w:p>
        </w:tc>
        <w:tc>
          <w:tcPr>
            <w:tcW w:w="2949" w:type="dxa"/>
            <w:shd w:val="clear" w:color="auto" w:fill="DBE5F1"/>
            <w:vAlign w:val="center"/>
          </w:tcPr>
          <w:p w14:paraId="79BDF345" w14:textId="77777777" w:rsidR="00777179" w:rsidRPr="00B55E65" w:rsidRDefault="00000000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B55E65">
              <w:rPr>
                <w:rFonts w:ascii="Times New Roman" w:eastAsia="標楷體" w:hAnsi="Times New Roman" w:cs="Times New Roman"/>
                <w:b/>
              </w:rPr>
              <w:t>延伸學習重點</w:t>
            </w:r>
          </w:p>
        </w:tc>
      </w:tr>
      <w:tr w:rsidR="00777179" w:rsidRPr="00B55E65" w14:paraId="7F364AAA" w14:textId="77777777">
        <w:trPr>
          <w:trHeight w:val="340"/>
        </w:trPr>
        <w:tc>
          <w:tcPr>
            <w:tcW w:w="817" w:type="dxa"/>
          </w:tcPr>
          <w:p w14:paraId="08DB70A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657E8DB0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課程導論</w:t>
            </w:r>
          </w:p>
        </w:tc>
        <w:tc>
          <w:tcPr>
            <w:tcW w:w="2126" w:type="dxa"/>
          </w:tcPr>
          <w:p w14:paraId="430E87E8" w14:textId="77777777" w:rsidR="00777179" w:rsidRPr="00B55E65" w:rsidRDefault="0077717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1F80A97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為什麼要懂財經？日常與財經的連結</w:t>
            </w:r>
          </w:p>
        </w:tc>
        <w:tc>
          <w:tcPr>
            <w:tcW w:w="2949" w:type="dxa"/>
          </w:tcPr>
          <w:p w14:paraId="25F33B4A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財經素養與資訊來源</w:t>
            </w:r>
          </w:p>
        </w:tc>
      </w:tr>
      <w:tr w:rsidR="00777179" w:rsidRPr="00B55E65" w14:paraId="59DF9D47" w14:textId="77777777">
        <w:trPr>
          <w:trHeight w:val="340"/>
        </w:trPr>
        <w:tc>
          <w:tcPr>
            <w:tcW w:w="817" w:type="dxa"/>
          </w:tcPr>
          <w:p w14:paraId="60DB523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58EE0EE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物價與通膨</w:t>
            </w:r>
          </w:p>
        </w:tc>
        <w:tc>
          <w:tcPr>
            <w:tcW w:w="2126" w:type="dxa"/>
          </w:tcPr>
          <w:p w14:paraId="3FBF791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bookmarkStart w:id="0" w:name="_o3w53eaig9v1" w:colFirst="0" w:colLast="0"/>
            <w:bookmarkEnd w:id="0"/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蛋價、油價上漲</w:t>
            </w:r>
          </w:p>
        </w:tc>
        <w:tc>
          <w:tcPr>
            <w:tcW w:w="2295" w:type="dxa"/>
          </w:tcPr>
          <w:p w14:paraId="2F95E6F0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早餐漲價現象</w:t>
            </w:r>
          </w:p>
        </w:tc>
        <w:tc>
          <w:tcPr>
            <w:tcW w:w="2949" w:type="dxa"/>
          </w:tcPr>
          <w:p w14:paraId="24C94EC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CPI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、通膨與央行角色</w:t>
            </w:r>
          </w:p>
        </w:tc>
      </w:tr>
      <w:tr w:rsidR="00777179" w:rsidRPr="00B55E65" w14:paraId="084ADDE0" w14:textId="77777777">
        <w:trPr>
          <w:trHeight w:val="340"/>
        </w:trPr>
        <w:tc>
          <w:tcPr>
            <w:tcW w:w="817" w:type="dxa"/>
          </w:tcPr>
          <w:p w14:paraId="72A1921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3B6E92B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利率與借貸</w:t>
            </w:r>
          </w:p>
        </w:tc>
        <w:tc>
          <w:tcPr>
            <w:tcW w:w="2126" w:type="dxa"/>
          </w:tcPr>
          <w:p w14:paraId="1C00256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升息新聞、房貸壓力</w:t>
            </w:r>
          </w:p>
        </w:tc>
        <w:tc>
          <w:tcPr>
            <w:tcW w:w="2295" w:type="dxa"/>
          </w:tcPr>
          <w:p w14:paraId="4CA83BA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信用卡分期付款</w:t>
            </w:r>
          </w:p>
        </w:tc>
        <w:tc>
          <w:tcPr>
            <w:tcW w:w="2949" w:type="dxa"/>
          </w:tcPr>
          <w:p w14:paraId="6D05884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利率、債務管理、央行政策</w:t>
            </w:r>
          </w:p>
        </w:tc>
      </w:tr>
      <w:tr w:rsidR="00777179" w:rsidRPr="00B55E65" w14:paraId="440AA0FF" w14:textId="77777777">
        <w:trPr>
          <w:trHeight w:val="340"/>
        </w:trPr>
        <w:tc>
          <w:tcPr>
            <w:tcW w:w="817" w:type="dxa"/>
          </w:tcPr>
          <w:p w14:paraId="3B2E7D1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0180D2D7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股市入門</w:t>
            </w:r>
          </w:p>
        </w:tc>
        <w:tc>
          <w:tcPr>
            <w:tcW w:w="2126" w:type="dxa"/>
          </w:tcPr>
          <w:p w14:paraId="46253787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台股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美股大漲大跌</w:t>
            </w:r>
          </w:p>
        </w:tc>
        <w:tc>
          <w:tcPr>
            <w:tcW w:w="2295" w:type="dxa"/>
          </w:tcPr>
          <w:p w14:paraId="1CD0237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股市對生活的影響</w:t>
            </w:r>
          </w:p>
        </w:tc>
        <w:tc>
          <w:tcPr>
            <w:tcW w:w="2949" w:type="dxa"/>
          </w:tcPr>
          <w:p w14:paraId="77EC6C7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股票是什麼？公司與股價</w:t>
            </w:r>
          </w:p>
        </w:tc>
      </w:tr>
      <w:tr w:rsidR="00777179" w:rsidRPr="00B55E65" w14:paraId="795856EE" w14:textId="77777777">
        <w:trPr>
          <w:trHeight w:val="340"/>
        </w:trPr>
        <w:tc>
          <w:tcPr>
            <w:tcW w:w="817" w:type="dxa"/>
          </w:tcPr>
          <w:p w14:paraId="66CF294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346F966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ETF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與被動投資</w:t>
            </w:r>
          </w:p>
        </w:tc>
        <w:tc>
          <w:tcPr>
            <w:tcW w:w="2126" w:type="dxa"/>
          </w:tcPr>
          <w:p w14:paraId="37E9F92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台灣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0050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、熱門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ETF</w:t>
            </w:r>
          </w:p>
        </w:tc>
        <w:tc>
          <w:tcPr>
            <w:tcW w:w="2295" w:type="dxa"/>
          </w:tcPr>
          <w:p w14:paraId="26086A8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小資族投資工具</w:t>
            </w:r>
          </w:p>
        </w:tc>
        <w:tc>
          <w:tcPr>
            <w:tcW w:w="2949" w:type="dxa"/>
          </w:tcPr>
          <w:p w14:paraId="2BEB34E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ETF vs 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個股、長期投資</w:t>
            </w:r>
          </w:p>
        </w:tc>
      </w:tr>
      <w:tr w:rsidR="00777179" w:rsidRPr="00B55E65" w14:paraId="4D5C9C0B" w14:textId="77777777">
        <w:trPr>
          <w:trHeight w:val="340"/>
        </w:trPr>
        <w:tc>
          <w:tcPr>
            <w:tcW w:w="817" w:type="dxa"/>
          </w:tcPr>
          <w:p w14:paraId="4D0BD55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5A03F4D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銀行與金融機構</w:t>
            </w:r>
          </w:p>
        </w:tc>
        <w:tc>
          <w:tcPr>
            <w:tcW w:w="2126" w:type="dxa"/>
          </w:tcPr>
          <w:p w14:paraId="64D5E46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數位帳戶高利活存</w:t>
            </w:r>
          </w:p>
        </w:tc>
        <w:tc>
          <w:tcPr>
            <w:tcW w:w="2295" w:type="dxa"/>
          </w:tcPr>
          <w:p w14:paraId="7CA92C7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學生開戶經驗</w:t>
            </w:r>
          </w:p>
        </w:tc>
        <w:tc>
          <w:tcPr>
            <w:tcW w:w="2949" w:type="dxa"/>
          </w:tcPr>
          <w:p w14:paraId="011CEA7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銀行功能、存保制度</w:t>
            </w:r>
          </w:p>
        </w:tc>
      </w:tr>
      <w:tr w:rsidR="00777179" w:rsidRPr="00B55E65" w14:paraId="4AEB2F3E" w14:textId="77777777">
        <w:trPr>
          <w:trHeight w:val="340"/>
        </w:trPr>
        <w:tc>
          <w:tcPr>
            <w:tcW w:w="817" w:type="dxa"/>
          </w:tcPr>
          <w:p w14:paraId="74DB3BA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198C129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保險與風險管理</w:t>
            </w:r>
          </w:p>
        </w:tc>
        <w:tc>
          <w:tcPr>
            <w:tcW w:w="2126" w:type="dxa"/>
          </w:tcPr>
          <w:p w14:paraId="2DB2093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醫療險、旅遊險</w:t>
            </w:r>
          </w:p>
        </w:tc>
        <w:tc>
          <w:tcPr>
            <w:tcW w:w="2295" w:type="dxa"/>
          </w:tcPr>
          <w:p w14:paraId="22176A94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出國旅遊買保險</w:t>
            </w:r>
          </w:p>
        </w:tc>
        <w:tc>
          <w:tcPr>
            <w:tcW w:w="2949" w:type="dxa"/>
          </w:tcPr>
          <w:p w14:paraId="77607812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風險分散、保險觀念</w:t>
            </w:r>
          </w:p>
        </w:tc>
      </w:tr>
      <w:tr w:rsidR="00777179" w:rsidRPr="00B55E65" w14:paraId="737E3C30" w14:textId="77777777">
        <w:trPr>
          <w:trHeight w:val="340"/>
        </w:trPr>
        <w:tc>
          <w:tcPr>
            <w:tcW w:w="817" w:type="dxa"/>
          </w:tcPr>
          <w:p w14:paraId="3B803C2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4190B42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消費金融與信用卡</w:t>
            </w:r>
          </w:p>
        </w:tc>
        <w:tc>
          <w:tcPr>
            <w:tcW w:w="2126" w:type="dxa"/>
          </w:tcPr>
          <w:p w14:paraId="675D26E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信用卡優惠、循環利息</w:t>
            </w:r>
          </w:p>
        </w:tc>
        <w:tc>
          <w:tcPr>
            <w:tcW w:w="2295" w:type="dxa"/>
          </w:tcPr>
          <w:p w14:paraId="7BAA0564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學生族群用卡經驗</w:t>
            </w:r>
          </w:p>
        </w:tc>
        <w:tc>
          <w:tcPr>
            <w:tcW w:w="2949" w:type="dxa"/>
          </w:tcPr>
          <w:p w14:paraId="449DC43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信用評分、消費陷阱</w:t>
            </w:r>
          </w:p>
        </w:tc>
      </w:tr>
      <w:tr w:rsidR="00777179" w:rsidRPr="00B55E65" w14:paraId="660DADFD" w14:textId="77777777">
        <w:trPr>
          <w:trHeight w:val="340"/>
        </w:trPr>
        <w:tc>
          <w:tcPr>
            <w:tcW w:w="817" w:type="dxa"/>
          </w:tcPr>
          <w:p w14:paraId="4CD7EA1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123C102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期中討論與專題分享</w:t>
            </w:r>
          </w:p>
        </w:tc>
        <w:tc>
          <w:tcPr>
            <w:tcW w:w="2126" w:type="dxa"/>
          </w:tcPr>
          <w:p w14:paraId="254490E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學生自選新聞</w:t>
            </w:r>
          </w:p>
        </w:tc>
        <w:tc>
          <w:tcPr>
            <w:tcW w:w="2295" w:type="dxa"/>
          </w:tcPr>
          <w:p w14:paraId="52785EA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小組討論分享</w:t>
            </w:r>
          </w:p>
        </w:tc>
        <w:tc>
          <w:tcPr>
            <w:tcW w:w="2949" w:type="dxa"/>
          </w:tcPr>
          <w:p w14:paraId="6ED46AA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財經觀點整理與表達</w:t>
            </w:r>
          </w:p>
        </w:tc>
      </w:tr>
      <w:tr w:rsidR="00777179" w:rsidRPr="00B55E65" w14:paraId="3F9B352A" w14:textId="77777777">
        <w:trPr>
          <w:trHeight w:val="340"/>
        </w:trPr>
        <w:tc>
          <w:tcPr>
            <w:tcW w:w="817" w:type="dxa"/>
          </w:tcPr>
          <w:p w14:paraId="35D8AAD6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541EAB1C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國際貿易與匯率</w:t>
            </w:r>
          </w:p>
        </w:tc>
        <w:tc>
          <w:tcPr>
            <w:tcW w:w="2126" w:type="dxa"/>
          </w:tcPr>
          <w:p w14:paraId="37972312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台幣貶值、匯率波動</w:t>
            </w:r>
          </w:p>
        </w:tc>
        <w:tc>
          <w:tcPr>
            <w:tcW w:w="2295" w:type="dxa"/>
          </w:tcPr>
          <w:p w14:paraId="3C29317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出國換匯經驗</w:t>
            </w:r>
          </w:p>
        </w:tc>
        <w:tc>
          <w:tcPr>
            <w:tcW w:w="2949" w:type="dxa"/>
          </w:tcPr>
          <w:p w14:paraId="135BB0D2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匯率影響物價、國際收支</w:t>
            </w:r>
          </w:p>
        </w:tc>
      </w:tr>
      <w:tr w:rsidR="00777179" w:rsidRPr="00B55E65" w14:paraId="01D672D4" w14:textId="77777777">
        <w:trPr>
          <w:trHeight w:val="340"/>
        </w:trPr>
        <w:tc>
          <w:tcPr>
            <w:tcW w:w="817" w:type="dxa"/>
          </w:tcPr>
          <w:p w14:paraId="4053740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</w:tcPr>
          <w:p w14:paraId="5C9746B3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企業與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ESG</w:t>
            </w:r>
          </w:p>
        </w:tc>
        <w:tc>
          <w:tcPr>
            <w:tcW w:w="2126" w:type="dxa"/>
          </w:tcPr>
          <w:p w14:paraId="32801B2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綠能、碳交易</w:t>
            </w:r>
          </w:p>
        </w:tc>
        <w:tc>
          <w:tcPr>
            <w:tcW w:w="2295" w:type="dxa"/>
          </w:tcPr>
          <w:p w14:paraId="779F07C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永續消費與企業責任</w:t>
            </w:r>
          </w:p>
        </w:tc>
        <w:tc>
          <w:tcPr>
            <w:tcW w:w="2949" w:type="dxa"/>
          </w:tcPr>
          <w:p w14:paraId="2AFB32B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ESG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、永續金融</w:t>
            </w:r>
          </w:p>
        </w:tc>
      </w:tr>
      <w:tr w:rsidR="00777179" w:rsidRPr="00B55E65" w14:paraId="21B16362" w14:textId="77777777">
        <w:trPr>
          <w:trHeight w:val="340"/>
        </w:trPr>
        <w:tc>
          <w:tcPr>
            <w:tcW w:w="817" w:type="dxa"/>
          </w:tcPr>
          <w:p w14:paraId="1AFFCD4A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268" w:type="dxa"/>
          </w:tcPr>
          <w:p w14:paraId="6273520C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科技與金融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(FinTech)</w:t>
            </w:r>
          </w:p>
        </w:tc>
        <w:tc>
          <w:tcPr>
            <w:tcW w:w="2126" w:type="dxa"/>
          </w:tcPr>
          <w:p w14:paraId="7D1F6FB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行動支付、區塊鏈</w:t>
            </w:r>
          </w:p>
        </w:tc>
        <w:tc>
          <w:tcPr>
            <w:tcW w:w="2295" w:type="dxa"/>
          </w:tcPr>
          <w:p w14:paraId="3A0EE6FA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Line Pay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Apple Pay</w:t>
            </w:r>
          </w:p>
        </w:tc>
        <w:tc>
          <w:tcPr>
            <w:tcW w:w="2949" w:type="dxa"/>
          </w:tcPr>
          <w:p w14:paraId="68BFD092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支付科技、加密貨幣</w:t>
            </w:r>
          </w:p>
        </w:tc>
      </w:tr>
      <w:tr w:rsidR="00777179" w:rsidRPr="00B55E65" w14:paraId="6D665A77" w14:textId="77777777">
        <w:trPr>
          <w:trHeight w:val="340"/>
        </w:trPr>
        <w:tc>
          <w:tcPr>
            <w:tcW w:w="817" w:type="dxa"/>
          </w:tcPr>
          <w:p w14:paraId="2D3E611F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68" w:type="dxa"/>
          </w:tcPr>
          <w:p w14:paraId="4D20B6C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與財金應用</w:t>
            </w:r>
          </w:p>
        </w:tc>
        <w:tc>
          <w:tcPr>
            <w:tcW w:w="2126" w:type="dxa"/>
          </w:tcPr>
          <w:p w14:paraId="7B10EC4C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選股、金融大數據</w:t>
            </w:r>
          </w:p>
        </w:tc>
        <w:tc>
          <w:tcPr>
            <w:tcW w:w="2295" w:type="dxa"/>
          </w:tcPr>
          <w:p w14:paraId="5346110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ChatGPT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與投資案例</w:t>
            </w:r>
          </w:p>
        </w:tc>
        <w:tc>
          <w:tcPr>
            <w:tcW w:w="2949" w:type="dxa"/>
          </w:tcPr>
          <w:p w14:paraId="4208F9D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金融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的挑戰與機會</w:t>
            </w:r>
          </w:p>
        </w:tc>
      </w:tr>
      <w:tr w:rsidR="00777179" w:rsidRPr="00B55E65" w14:paraId="148FA148" w14:textId="77777777">
        <w:trPr>
          <w:trHeight w:val="340"/>
        </w:trPr>
        <w:tc>
          <w:tcPr>
            <w:tcW w:w="817" w:type="dxa"/>
          </w:tcPr>
          <w:p w14:paraId="0AA9768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68" w:type="dxa"/>
          </w:tcPr>
          <w:p w14:paraId="2233DC4D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政府政策與財稅</w:t>
            </w:r>
          </w:p>
        </w:tc>
        <w:tc>
          <w:tcPr>
            <w:tcW w:w="2126" w:type="dxa"/>
          </w:tcPr>
          <w:p w14:paraId="3A973A9C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房地合一稅、青年貸款</w:t>
            </w:r>
          </w:p>
        </w:tc>
        <w:tc>
          <w:tcPr>
            <w:tcW w:w="2295" w:type="dxa"/>
          </w:tcPr>
          <w:p w14:paraId="56B034D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稅收與日常生活</w:t>
            </w:r>
          </w:p>
        </w:tc>
        <w:tc>
          <w:tcPr>
            <w:tcW w:w="2949" w:type="dxa"/>
          </w:tcPr>
          <w:p w14:paraId="40E7B82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稅收制度、財政支出</w:t>
            </w:r>
          </w:p>
        </w:tc>
      </w:tr>
      <w:tr w:rsidR="00777179" w:rsidRPr="00B55E65" w14:paraId="175BA292" w14:textId="77777777">
        <w:trPr>
          <w:trHeight w:val="340"/>
        </w:trPr>
        <w:tc>
          <w:tcPr>
            <w:tcW w:w="817" w:type="dxa"/>
          </w:tcPr>
          <w:p w14:paraId="652B121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68" w:type="dxa"/>
          </w:tcPr>
          <w:p w14:paraId="4061A20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金融犯罪與詐騙</w:t>
            </w:r>
          </w:p>
        </w:tc>
        <w:tc>
          <w:tcPr>
            <w:tcW w:w="2126" w:type="dxa"/>
          </w:tcPr>
          <w:p w14:paraId="7C9267D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詐騙新聞、洗錢</w:t>
            </w:r>
          </w:p>
        </w:tc>
        <w:tc>
          <w:tcPr>
            <w:tcW w:w="2295" w:type="dxa"/>
          </w:tcPr>
          <w:p w14:paraId="17A6C03C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常見詐騙手法</w:t>
            </w:r>
          </w:p>
        </w:tc>
        <w:tc>
          <w:tcPr>
            <w:tcW w:w="2949" w:type="dxa"/>
          </w:tcPr>
          <w:p w14:paraId="73296D86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反洗錢、如何自保</w:t>
            </w:r>
          </w:p>
        </w:tc>
      </w:tr>
      <w:tr w:rsidR="00777179" w:rsidRPr="00B55E65" w14:paraId="3481B5E2" w14:textId="77777777">
        <w:trPr>
          <w:trHeight w:val="340"/>
        </w:trPr>
        <w:tc>
          <w:tcPr>
            <w:tcW w:w="817" w:type="dxa"/>
          </w:tcPr>
          <w:p w14:paraId="31787C4E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68" w:type="dxa"/>
          </w:tcPr>
          <w:p w14:paraId="764577D3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財金與社會議題</w:t>
            </w:r>
          </w:p>
        </w:tc>
        <w:tc>
          <w:tcPr>
            <w:tcW w:w="2126" w:type="dxa"/>
          </w:tcPr>
          <w:p w14:paraId="6212E26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青年貧窮、財富差距</w:t>
            </w:r>
          </w:p>
        </w:tc>
        <w:tc>
          <w:tcPr>
            <w:tcW w:w="2295" w:type="dxa"/>
          </w:tcPr>
          <w:p w14:paraId="0984299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薪資不均、斜槓收入</w:t>
            </w:r>
          </w:p>
        </w:tc>
        <w:tc>
          <w:tcPr>
            <w:tcW w:w="2949" w:type="dxa"/>
          </w:tcPr>
          <w:p w14:paraId="2E3B503B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財富分配與社會結構</w:t>
            </w:r>
          </w:p>
        </w:tc>
      </w:tr>
      <w:tr w:rsidR="00777179" w:rsidRPr="00B55E65" w14:paraId="48266AB3" w14:textId="77777777">
        <w:trPr>
          <w:trHeight w:val="340"/>
        </w:trPr>
        <w:tc>
          <w:tcPr>
            <w:tcW w:w="817" w:type="dxa"/>
          </w:tcPr>
          <w:p w14:paraId="6F2B7FC2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68" w:type="dxa"/>
          </w:tcPr>
          <w:p w14:paraId="72D11B74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學生小組專題發表</w:t>
            </w:r>
          </w:p>
        </w:tc>
        <w:tc>
          <w:tcPr>
            <w:tcW w:w="2126" w:type="dxa"/>
          </w:tcPr>
          <w:p w14:paraId="5B171338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學生自選新聞</w:t>
            </w:r>
          </w:p>
        </w:tc>
        <w:tc>
          <w:tcPr>
            <w:tcW w:w="2295" w:type="dxa"/>
          </w:tcPr>
          <w:p w14:paraId="1F4942B5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小組簡報與討論</w:t>
            </w:r>
          </w:p>
        </w:tc>
        <w:tc>
          <w:tcPr>
            <w:tcW w:w="2949" w:type="dxa"/>
          </w:tcPr>
          <w:p w14:paraId="5890DACA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財經議題分析能力</w:t>
            </w:r>
          </w:p>
        </w:tc>
      </w:tr>
      <w:tr w:rsidR="00777179" w:rsidRPr="00B55E65" w14:paraId="6FBB7B53" w14:textId="77777777">
        <w:trPr>
          <w:trHeight w:val="340"/>
        </w:trPr>
        <w:tc>
          <w:tcPr>
            <w:tcW w:w="817" w:type="dxa"/>
          </w:tcPr>
          <w:p w14:paraId="04D81D69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268" w:type="dxa"/>
          </w:tcPr>
          <w:p w14:paraId="71ED0A73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課程回顧與總結</w:t>
            </w:r>
          </w:p>
        </w:tc>
        <w:tc>
          <w:tcPr>
            <w:tcW w:w="2126" w:type="dxa"/>
          </w:tcPr>
          <w:p w14:paraId="2DB6DEA8" w14:textId="77777777" w:rsidR="00777179" w:rsidRPr="00B55E65" w:rsidRDefault="0077717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5B8896B1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回顧學習</w:t>
            </w:r>
          </w:p>
        </w:tc>
        <w:tc>
          <w:tcPr>
            <w:tcW w:w="2949" w:type="dxa"/>
          </w:tcPr>
          <w:p w14:paraId="2209DEF7" w14:textId="77777777" w:rsidR="00777179" w:rsidRPr="00B55E65" w:rsidRDefault="0000000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5E65">
              <w:rPr>
                <w:rFonts w:ascii="Times New Roman" w:eastAsia="標楷體" w:hAnsi="Times New Roman" w:cs="Times New Roman"/>
                <w:sz w:val="24"/>
                <w:szCs w:val="24"/>
              </w:rPr>
              <w:t>期末心得與財經素養統整</w:t>
            </w:r>
          </w:p>
        </w:tc>
      </w:tr>
    </w:tbl>
    <w:p w14:paraId="067717F1" w14:textId="77777777" w:rsidR="00777179" w:rsidRPr="00B55E65" w:rsidRDefault="00000000">
      <w:pPr>
        <w:pStyle w:val="1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四、參考新聞與資料來源建議</w:t>
      </w:r>
    </w:p>
    <w:p w14:paraId="21DE2489" w14:textId="77777777" w:rsidR="00777179" w:rsidRPr="00B55E65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1</w:t>
      </w:r>
      <w:r w:rsidRPr="00B55E65">
        <w:rPr>
          <w:rFonts w:ascii="Times New Roman" w:eastAsia="標楷體" w:hAnsi="Times New Roman" w:cs="Times New Roman"/>
        </w:rPr>
        <w:t>、新聞媒體（每日</w:t>
      </w:r>
      <w:r w:rsidRPr="00B55E65">
        <w:rPr>
          <w:rFonts w:ascii="Times New Roman" w:eastAsia="標楷體" w:hAnsi="Times New Roman" w:cs="Times New Roman"/>
        </w:rPr>
        <w:t>/</w:t>
      </w:r>
      <w:r w:rsidRPr="00B55E65">
        <w:rPr>
          <w:rFonts w:ascii="Times New Roman" w:eastAsia="標楷體" w:hAnsi="Times New Roman" w:cs="Times New Roman"/>
        </w:rPr>
        <w:t>每週更新）</w:t>
      </w:r>
    </w:p>
    <w:p w14:paraId="622C6725" w14:textId="77777777" w:rsidR="00777179" w:rsidRPr="00B55E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國內中文媒體</w:t>
      </w:r>
    </w:p>
    <w:p w14:paraId="5C7DEC4D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《經濟日報》：台灣主要財經新聞來源。</w:t>
      </w:r>
    </w:p>
    <w:p w14:paraId="65DF3B75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《工商時報》：關注企業與金融市場。</w:t>
      </w:r>
    </w:p>
    <w:p w14:paraId="3FF8F083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《天下雜誌》財經版：長篇報導，適合延伸討論。</w:t>
      </w:r>
    </w:p>
    <w:p w14:paraId="4C2FB8D7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《今周刊》：投資、理財與產業趨勢。</w:t>
      </w:r>
    </w:p>
    <w:p w14:paraId="5DD2F57B" w14:textId="77777777" w:rsidR="00777179" w:rsidRPr="00B55E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國際媒體</w:t>
      </w:r>
    </w:p>
    <w:p w14:paraId="012066AD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 Financial Times (FT)</w:t>
      </w:r>
      <w:r w:rsidRPr="00B55E65">
        <w:rPr>
          <w:rFonts w:ascii="Times New Roman" w:eastAsia="標楷體" w:hAnsi="Times New Roman" w:cs="Times New Roman"/>
          <w:i/>
          <w:color w:val="000000"/>
          <w:sz w:val="24"/>
          <w:szCs w:val="24"/>
        </w:rPr>
        <w:t>、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Bloomberg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：全球金融市場與政策。</w:t>
      </w:r>
    </w:p>
    <w:p w14:paraId="530F990B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 The Economist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：全球經濟與跨域議題。</w:t>
      </w:r>
    </w:p>
    <w:p w14:paraId="186F1C8E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 CNBC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、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Reuters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：即時財經新聞。</w:t>
      </w:r>
    </w:p>
    <w:p w14:paraId="79A7458E" w14:textId="77777777" w:rsidR="00777179" w:rsidRPr="00B55E65" w:rsidRDefault="007771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1244DDA" w14:textId="77777777" w:rsidR="00777179" w:rsidRPr="00B55E65" w:rsidRDefault="00000000">
      <w:pPr>
        <w:pStyle w:val="2"/>
        <w:numPr>
          <w:ilvl w:val="0"/>
          <w:numId w:val="6"/>
        </w:numPr>
        <w:spacing w:before="0"/>
        <w:ind w:left="426" w:hanging="426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政府與國際機構（可信度高，適合數據引用）</w:t>
      </w:r>
    </w:p>
    <w:p w14:paraId="08CB6204" w14:textId="77777777" w:rsidR="00777179" w:rsidRPr="00B55E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台灣</w:t>
      </w:r>
    </w:p>
    <w:p w14:paraId="7D7BE14E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中央銀行（利率、貨幣政策、通膨數據）</w:t>
      </w:r>
    </w:p>
    <w:p w14:paraId="147F73D6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金管會（金融監管、保險與投資政策）</w:t>
      </w:r>
    </w:p>
    <w:p w14:paraId="788B8E03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財政部（稅務與公共財政）</w:t>
      </w:r>
    </w:p>
    <w:p w14:paraId="1CD40EEA" w14:textId="77777777" w:rsidR="00777179" w:rsidRPr="00B55E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國際</w:t>
      </w:r>
    </w:p>
    <w:p w14:paraId="0E4CEA5F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國際貨幣基金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IMF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（全球經濟報告）</w:t>
      </w:r>
    </w:p>
    <w:p w14:paraId="37C7FD4D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世界銀行（發展與財務數據）</w:t>
      </w:r>
    </w:p>
    <w:p w14:paraId="0E4D550F" w14:textId="77777777" w:rsidR="00777179" w:rsidRPr="00B55E65" w:rsidRDefault="00777179">
      <w:pPr>
        <w:spacing w:after="0"/>
        <w:rPr>
          <w:rFonts w:ascii="Times New Roman" w:eastAsia="標楷體" w:hAnsi="Times New Roman" w:cs="Times New Roman"/>
        </w:rPr>
      </w:pPr>
    </w:p>
    <w:p w14:paraId="47C4CB02" w14:textId="77777777" w:rsidR="00777179" w:rsidRPr="00B55E65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3</w:t>
      </w:r>
      <w:r w:rsidRPr="00B55E65">
        <w:rPr>
          <w:rFonts w:ascii="Times New Roman" w:eastAsia="標楷體" w:hAnsi="Times New Roman" w:cs="Times New Roman"/>
        </w:rPr>
        <w:t>、影音與新媒體（適合課堂引導與學生延伸）</w:t>
      </w:r>
    </w:p>
    <w:p w14:paraId="63ACEC28" w14:textId="77777777" w:rsidR="00777179" w:rsidRPr="00B55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 xml:space="preserve">YouTube </w:t>
      </w: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頻道</w:t>
      </w:r>
    </w:p>
    <w:p w14:paraId="7BECB1F7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「志祺七七」：以簡單動畫解釋財經與時事。</w:t>
      </w:r>
    </w:p>
    <w:p w14:paraId="42743F1A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「股市隨便聊」：市場新聞與投資入門。</w:t>
      </w:r>
    </w:p>
    <w:p w14:paraId="00A5915B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「風傳媒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財經」：時事與金融政策評論。</w:t>
      </w:r>
    </w:p>
    <w:p w14:paraId="6AC5F96B" w14:textId="77777777" w:rsidR="00777179" w:rsidRPr="00B55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Podcast</w:t>
      </w:r>
    </w:p>
    <w:p w14:paraId="47FE61E7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《敏迪選讀》：國際政治與經濟議題。</w:t>
      </w:r>
    </w:p>
    <w:p w14:paraId="04FEACD2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《財經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3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分鐘》：短時間吸收財經觀念。</w:t>
      </w:r>
    </w:p>
    <w:p w14:paraId="393895DC" w14:textId="77777777" w:rsidR="00777179" w:rsidRPr="00B55E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        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《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M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觀點》：深入產業趨勢與投資策略。</w:t>
      </w:r>
    </w:p>
    <w:p w14:paraId="4AD9DAC9" w14:textId="77777777" w:rsidR="00777179" w:rsidRPr="00B55E65" w:rsidRDefault="00777179">
      <w:pPr>
        <w:spacing w:after="0"/>
        <w:rPr>
          <w:rFonts w:ascii="Times New Roman" w:eastAsia="標楷體" w:hAnsi="Times New Roman" w:cs="Times New Roman"/>
        </w:rPr>
      </w:pPr>
    </w:p>
    <w:p w14:paraId="22AB1DE6" w14:textId="77777777" w:rsidR="00777179" w:rsidRPr="00B55E65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4</w:t>
      </w:r>
      <w:r w:rsidRPr="00B55E65">
        <w:rPr>
          <w:rFonts w:ascii="Times New Roman" w:eastAsia="標楷體" w:hAnsi="Times New Roman" w:cs="Times New Roman"/>
        </w:rPr>
        <w:t>、學習平台與專業資源</w:t>
      </w:r>
    </w:p>
    <w:p w14:paraId="19A6C1F8" w14:textId="77777777" w:rsidR="00777179" w:rsidRPr="00B55E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Coursera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、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edX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財經入門課程（如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</w:t>
      </w:r>
      <w:r w:rsidRPr="00B55E65">
        <w:rPr>
          <w:rFonts w:ascii="Times New Roman" w:eastAsia="標楷體" w:hAnsi="Times New Roman" w:cs="Times New Roman"/>
          <w:i/>
          <w:color w:val="000000"/>
          <w:sz w:val="24"/>
          <w:szCs w:val="24"/>
        </w:rPr>
        <w:t>Introduction to Finance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）</w:t>
      </w:r>
    </w:p>
    <w:p w14:paraId="2D6C1086" w14:textId="77777777" w:rsidR="00777179" w:rsidRPr="00B55E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世界經濟論壇（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WEF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）趨勢報告（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ESG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、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AI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與金融、國際經濟）</w:t>
      </w:r>
    </w:p>
    <w:p w14:paraId="25C2BED2" w14:textId="77777777" w:rsidR="00777179" w:rsidRPr="00B55E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Investopedia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（英文財經知識百科，適合自學）</w:t>
      </w:r>
    </w:p>
    <w:p w14:paraId="3B1F4579" w14:textId="77777777" w:rsidR="00777179" w:rsidRPr="00B55E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</w:rPr>
      </w:pP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OpenAI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與金融科技研究白皮書（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AI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、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FinTech 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相關應用）</w:t>
      </w:r>
    </w:p>
    <w:p w14:paraId="39B8FBDD" w14:textId="77777777" w:rsidR="00777179" w:rsidRPr="00B55E65" w:rsidRDefault="00777179">
      <w:pPr>
        <w:spacing w:after="0"/>
        <w:rPr>
          <w:rFonts w:ascii="Times New Roman" w:eastAsia="標楷體" w:hAnsi="Times New Roman" w:cs="Times New Roman"/>
        </w:rPr>
      </w:pPr>
    </w:p>
    <w:p w14:paraId="08A31D03" w14:textId="77777777" w:rsidR="00777179" w:rsidRPr="00B55E65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B55E65">
        <w:rPr>
          <w:rFonts w:ascii="Times New Roman" w:eastAsia="標楷體" w:hAnsi="Times New Roman" w:cs="Times New Roman"/>
        </w:rPr>
        <w:t>5</w:t>
      </w:r>
      <w:r w:rsidRPr="00B55E65">
        <w:rPr>
          <w:rFonts w:ascii="Times New Roman" w:eastAsia="標楷體" w:hAnsi="Times New Roman" w:cs="Times New Roman"/>
        </w:rPr>
        <w:t>、建議使用方式</w:t>
      </w:r>
    </w:p>
    <w:p w14:paraId="749CB9C1" w14:textId="77777777" w:rsidR="00777179" w:rsidRPr="00B55E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課堂前閱讀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：教師可指定新聞媒體的最新文章作為導讀。</w:t>
      </w:r>
    </w:p>
    <w:p w14:paraId="3B8F0DC3" w14:textId="77777777" w:rsidR="00777179" w:rsidRPr="00B55E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課堂討論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：學生以新聞事件為案例，連結課程主題。</w:t>
      </w:r>
    </w:p>
    <w:p w14:paraId="7A0FB400" w14:textId="77777777" w:rsidR="00777179" w:rsidRPr="00B55E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課後延伸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：推薦影音或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Podcast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，幫助不同學習風格的學生。</w:t>
      </w:r>
    </w:p>
    <w:p w14:paraId="47794CC0" w14:textId="77777777" w:rsidR="00777179" w:rsidRPr="00B55E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B55E65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專題研究</w:t>
      </w:r>
      <w:r w:rsidRPr="00B55E65">
        <w:rPr>
          <w:rFonts w:ascii="Times New Roman" w:eastAsia="標楷體" w:hAnsi="Times New Roman" w:cs="Times New Roman"/>
          <w:color w:val="000000"/>
          <w:sz w:val="24"/>
          <w:szCs w:val="24"/>
        </w:rPr>
        <w:t>：引用政府或國際機構數據，提升研究可信度。</w:t>
      </w:r>
    </w:p>
    <w:sectPr w:rsidR="00777179" w:rsidRPr="00B55E65">
      <w:pgSz w:w="12240" w:h="15840"/>
      <w:pgMar w:top="851" w:right="1134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E61"/>
    <w:multiLevelType w:val="multilevel"/>
    <w:tmpl w:val="7F5A1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8F66A39"/>
    <w:multiLevelType w:val="multilevel"/>
    <w:tmpl w:val="CD549A94"/>
    <w:lvl w:ilvl="0">
      <w:start w:val="2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BA64D9"/>
    <w:multiLevelType w:val="multilevel"/>
    <w:tmpl w:val="6582B9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7AF3C8E"/>
    <w:multiLevelType w:val="multilevel"/>
    <w:tmpl w:val="B64AB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1126DB3"/>
    <w:multiLevelType w:val="multilevel"/>
    <w:tmpl w:val="6FA6C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1630AA2"/>
    <w:multiLevelType w:val="multilevel"/>
    <w:tmpl w:val="3322E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43853795">
    <w:abstractNumId w:val="3"/>
  </w:num>
  <w:num w:numId="2" w16cid:durableId="741560920">
    <w:abstractNumId w:val="0"/>
  </w:num>
  <w:num w:numId="3" w16cid:durableId="458885062">
    <w:abstractNumId w:val="5"/>
  </w:num>
  <w:num w:numId="4" w16cid:durableId="1172990173">
    <w:abstractNumId w:val="2"/>
  </w:num>
  <w:num w:numId="5" w16cid:durableId="205022979">
    <w:abstractNumId w:val="4"/>
  </w:num>
  <w:num w:numId="6" w16cid:durableId="34957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179"/>
    <w:rsid w:val="003D19EC"/>
    <w:rsid w:val="00777179"/>
    <w:rsid w:val="00B55E65"/>
    <w:rsid w:val="00F7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5710"/>
  <w15:docId w15:val="{EBF909F7-03C9-4818-B3A5-9888283B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</dc:creator>
  <cp:lastModifiedBy>9700551</cp:lastModifiedBy>
  <cp:revision>3</cp:revision>
  <dcterms:created xsi:type="dcterms:W3CDTF">2025-09-26T09:15:00Z</dcterms:created>
  <dcterms:modified xsi:type="dcterms:W3CDTF">2025-09-26T09:16:00Z</dcterms:modified>
</cp:coreProperties>
</file>