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CFF" w:rsidRDefault="00C50AB0">
      <w:pPr>
        <w:pStyle w:val="Title"/>
      </w:pPr>
      <w:r>
        <w:t>PUBLIC HEALTH WHOLE GENOME SEQUENCING ANALYSIS REPORT</w:t>
      </w:r>
    </w:p>
    <w:p w:rsidR="00801CFF" w:rsidRDefault="00C50AB0">
      <w:r>
        <w:rPr>
          <w:rFonts w:ascii="Arial" w:eastAsia="Arial" w:hAnsi="Arial" w:cs="Arial"/>
          <w:color w:val="000000"/>
        </w:rPr>
        <w:t>Antimicrobial Resistance Outbreak Report</w:t>
      </w:r>
    </w:p>
    <w:tbl>
      <w:tblPr>
        <w:tblW w:w="0" w:type="auto"/>
        <w:jc w:val="center"/>
        <w:tblLayout w:type="fixed"/>
        <w:tblLook w:val="0420" w:firstRow="1" w:lastRow="0" w:firstColumn="0" w:lastColumn="0" w:noHBand="0" w:noVBand="1"/>
      </w:tblPr>
      <w:tblGrid>
        <w:gridCol w:w="1975"/>
        <w:gridCol w:w="2355"/>
        <w:gridCol w:w="1976"/>
      </w:tblGrid>
      <w:tr w:rsidR="00801CFF">
        <w:trPr>
          <w:cantSplit/>
          <w:tblHeader/>
          <w:jc w:val="center"/>
        </w:trPr>
        <w:tc>
          <w:tcPr>
            <w:tcW w:w="19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jc w:val="right"/>
            </w:pPr>
            <w:r>
              <w:rPr>
                <w:rFonts w:ascii="Arial" w:eastAsia="DejaVu Sans" w:hAnsi="DejaVu Sans" w:cs="DejaVu Sans"/>
                <w:color w:val="000000"/>
                <w:sz w:val="22"/>
                <w:szCs w:val="22"/>
              </w:rPr>
              <w:t>REPORT DATE</w:t>
            </w:r>
          </w:p>
        </w:tc>
        <w:tc>
          <w:tcPr>
            <w:tcW w:w="23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pPr>
            <w:r>
              <w:rPr>
                <w:rFonts w:ascii="Arial" w:eastAsia="DejaVu Sans" w:hAnsi="DejaVu Sans" w:cs="DejaVu Sans"/>
                <w:color w:val="000000"/>
                <w:sz w:val="22"/>
                <w:szCs w:val="22"/>
              </w:rPr>
              <w:t>PROJECT NAME</w:t>
            </w:r>
          </w:p>
        </w:tc>
        <w:tc>
          <w:tcPr>
            <w:tcW w:w="19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pPr>
            <w:r>
              <w:rPr>
                <w:rFonts w:ascii="Arial" w:eastAsia="DejaVu Sans" w:hAnsi="DejaVu Sans" w:cs="DejaVu Sans"/>
                <w:color w:val="000000"/>
                <w:sz w:val="22"/>
                <w:szCs w:val="22"/>
              </w:rPr>
              <w:t>PREPARED BY</w:t>
            </w:r>
          </w:p>
        </w:tc>
      </w:tr>
      <w:tr w:rsidR="00801CFF">
        <w:trPr>
          <w:cantSplit/>
          <w:jc w:val="center"/>
        </w:trPr>
        <w:tc>
          <w:tcPr>
            <w:tcW w:w="1975" w:type="dxa"/>
            <w:tcBorders>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jc w:val="right"/>
            </w:pPr>
            <w:r>
              <w:rPr>
                <w:rFonts w:ascii="Arial" w:eastAsia="DejaVu Sans" w:hAnsi="DejaVu Sans" w:cs="DejaVu Sans"/>
                <w:color w:val="000000"/>
                <w:sz w:val="22"/>
                <w:szCs w:val="22"/>
              </w:rPr>
              <w:t>2021-11-10</w:t>
            </w:r>
          </w:p>
        </w:tc>
        <w:tc>
          <w:tcPr>
            <w:tcW w:w="2355" w:type="dxa"/>
            <w:tcBorders>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pPr>
            <w:r>
              <w:rPr>
                <w:rFonts w:ascii="Arial" w:eastAsia="DejaVu Sans" w:hAnsi="DejaVu Sans" w:cs="DejaVu Sans"/>
                <w:color w:val="000000"/>
                <w:sz w:val="22"/>
                <w:szCs w:val="22"/>
              </w:rPr>
              <w:t>AR Report Example</w:t>
            </w:r>
          </w:p>
        </w:tc>
        <w:tc>
          <w:tcPr>
            <w:tcW w:w="1976" w:type="dxa"/>
            <w:tcBorders>
              <w:bottom w:val="single" w:sz="16" w:space="0" w:color="666666"/>
            </w:tcBorders>
            <w:shd w:val="clear" w:color="auto" w:fill="FFFFFF"/>
            <w:tcMar>
              <w:top w:w="0" w:type="dxa"/>
              <w:left w:w="0" w:type="dxa"/>
              <w:bottom w:w="0" w:type="dxa"/>
              <w:right w:w="0" w:type="dxa"/>
            </w:tcMar>
            <w:vAlign w:val="center"/>
          </w:tcPr>
          <w:p w:rsidR="00801CFF" w:rsidRDefault="00C50AB0">
            <w:pPr>
              <w:spacing w:before="100" w:after="100"/>
              <w:ind w:left="100" w:right="100"/>
            </w:pPr>
            <w:r>
              <w:rPr>
                <w:rFonts w:ascii="Arial" w:eastAsia="DejaVu Sans" w:hAnsi="DejaVu Sans" w:cs="DejaVu Sans"/>
                <w:color w:val="000000"/>
                <w:sz w:val="22"/>
                <w:szCs w:val="22"/>
              </w:rPr>
              <w:t>Abigail Shockey</w:t>
            </w:r>
          </w:p>
        </w:tc>
      </w:tr>
    </w:tbl>
    <w:p w:rsidR="00801CFF" w:rsidRDefault="00C50AB0">
      <w:pPr>
        <w:pStyle w:val="Heading1"/>
      </w:pPr>
      <w:bookmarkStart w:id="0" w:name="summary"/>
      <w:r>
        <w:t>SUMMARY</w:t>
      </w:r>
    </w:p>
    <w:p w:rsidR="00801CFF" w:rsidRDefault="00C50AB0">
      <w:r>
        <w:rPr>
          <w:rFonts w:ascii="Arial" w:eastAsia="Arial" w:hAnsi="Arial" w:cs="Arial"/>
          <w:color w:val="000000"/>
        </w:rPr>
        <w:t xml:space="preserve">This report outlines the relationship between a set of samples collected at a facility described by the outbreak ID: 1337. A set of external OXA-24 samples were also included to provide context to the outbreak. </w:t>
      </w:r>
    </w:p>
    <w:p w:rsidR="00801CFF" w:rsidRDefault="00C50AB0">
      <w:r>
        <w:br w:type="page"/>
      </w:r>
    </w:p>
    <w:p w:rsidR="00801CFF" w:rsidRDefault="00C50AB0">
      <w:pPr>
        <w:pStyle w:val="Heading1"/>
      </w:pPr>
      <w:bookmarkStart w:id="1" w:name="samples"/>
      <w:bookmarkEnd w:id="0"/>
      <w:r>
        <w:lastRenderedPageBreak/>
        <w:t>SAMPLES</w:t>
      </w:r>
    </w:p>
    <w:tbl>
      <w:tblPr>
        <w:tblW w:w="0" w:type="auto"/>
        <w:jc w:val="center"/>
        <w:tblLayout w:type="fixed"/>
        <w:tblLook w:val="0420" w:firstRow="1" w:lastRow="0" w:firstColumn="0" w:lastColumn="0" w:noHBand="0" w:noVBand="1"/>
      </w:tblPr>
      <w:tblGrid>
        <w:gridCol w:w="359"/>
        <w:gridCol w:w="1126"/>
        <w:gridCol w:w="515"/>
        <w:gridCol w:w="1182"/>
        <w:gridCol w:w="893"/>
        <w:gridCol w:w="1259"/>
        <w:gridCol w:w="915"/>
        <w:gridCol w:w="2327"/>
        <w:gridCol w:w="565"/>
      </w:tblGrid>
      <w:tr w:rsidR="00801CFF">
        <w:trPr>
          <w:cantSplit/>
          <w:jc w:val="center"/>
        </w:trPr>
        <w:tc>
          <w:tcPr>
            <w:tcW w:w="3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Lab ID</w:t>
            </w:r>
          </w:p>
        </w:tc>
        <w:tc>
          <w:tcPr>
            <w:tcW w:w="112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Isolate Collection Date</w:t>
            </w:r>
          </w:p>
        </w:tc>
        <w:tc>
          <w:tcPr>
            <w:tcW w:w="5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Loc</w:t>
            </w:r>
            <w:r>
              <w:rPr>
                <w:rFonts w:ascii="Arial" w:eastAsia="DejaVu Sans" w:hAnsi="DejaVu Sans" w:cs="DejaVu Sans"/>
                <w:b/>
                <w:color w:val="000000"/>
                <w:sz w:val="10"/>
                <w:szCs w:val="10"/>
              </w:rPr>
              <w:t>al ID</w:t>
            </w:r>
          </w:p>
        </w:tc>
        <w:tc>
          <w:tcPr>
            <w:tcW w:w="1182"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Species ID</w:t>
            </w:r>
          </w:p>
        </w:tc>
        <w:tc>
          <w:tcPr>
            <w:tcW w:w="893"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Specimen Source</w:t>
            </w:r>
          </w:p>
        </w:tc>
        <w:tc>
          <w:tcPr>
            <w:tcW w:w="12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MLST</w:t>
            </w:r>
          </w:p>
        </w:tc>
        <w:tc>
          <w:tcPr>
            <w:tcW w:w="9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Resistance Genes</w:t>
            </w:r>
          </w:p>
        </w:tc>
        <w:tc>
          <w:tcPr>
            <w:tcW w:w="2327"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Comments</w:t>
            </w:r>
          </w:p>
        </w:tc>
        <w:tc>
          <w:tcPr>
            <w:tcW w:w="56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10"/>
                <w:szCs w:val="10"/>
              </w:rPr>
              <w:t>TreeGroup</w:t>
            </w:r>
          </w:p>
        </w:tc>
      </w:tr>
      <w:tr w:rsidR="00801CFF">
        <w:trPr>
          <w:cantSplit/>
          <w:jc w:val="center"/>
        </w:trPr>
        <w:tc>
          <w:tcPr>
            <w:tcW w:w="3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S1</w:t>
            </w:r>
          </w:p>
        </w:tc>
        <w:tc>
          <w:tcPr>
            <w:tcW w:w="112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6/2/2049</w:t>
            </w:r>
          </w:p>
        </w:tc>
        <w:tc>
          <w:tcPr>
            <w:tcW w:w="5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WGS3213</w:t>
            </w:r>
          </w:p>
        </w:tc>
        <w:tc>
          <w:tcPr>
            <w:tcW w:w="1182"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blaOXA-24</w:t>
            </w:r>
          </w:p>
        </w:tc>
        <w:tc>
          <w:tcPr>
            <w:tcW w:w="2327" w:type="dxa"/>
            <w:shd w:val="clear" w:color="auto" w:fill="F2F2F2"/>
            <w:tcMar>
              <w:top w:w="0" w:type="dxa"/>
              <w:left w:w="0" w:type="dxa"/>
              <w:bottom w:w="0" w:type="dxa"/>
              <w:right w:w="0" w:type="dxa"/>
            </w:tcMar>
          </w:tcPr>
          <w:p w:rsidR="00801CFF" w:rsidRDefault="00801CFF">
            <w:pPr>
              <w:spacing w:before="20" w:after="20"/>
              <w:ind w:left="20" w:right="20"/>
            </w:pPr>
          </w:p>
        </w:tc>
        <w:tc>
          <w:tcPr>
            <w:tcW w:w="56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OXA-24</w:t>
            </w:r>
          </w:p>
        </w:tc>
      </w:tr>
      <w:tr w:rsidR="00801CFF">
        <w:trPr>
          <w:cantSplit/>
          <w:jc w:val="center"/>
        </w:trPr>
        <w:tc>
          <w:tcPr>
            <w:tcW w:w="3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S2</w:t>
            </w:r>
          </w:p>
        </w:tc>
        <w:tc>
          <w:tcPr>
            <w:tcW w:w="112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6/18/2049</w:t>
            </w:r>
          </w:p>
        </w:tc>
        <w:tc>
          <w:tcPr>
            <w:tcW w:w="5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WGS3214</w:t>
            </w:r>
          </w:p>
        </w:tc>
        <w:tc>
          <w:tcPr>
            <w:tcW w:w="1182"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Skin</w:t>
            </w:r>
          </w:p>
        </w:tc>
        <w:tc>
          <w:tcPr>
            <w:tcW w:w="12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blaOXA-72</w:t>
            </w:r>
          </w:p>
        </w:tc>
        <w:tc>
          <w:tcPr>
            <w:tcW w:w="2327"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OXA-72</w:t>
            </w:r>
          </w:p>
        </w:tc>
      </w:tr>
      <w:tr w:rsidR="00801CFF">
        <w:trPr>
          <w:cantSplit/>
          <w:jc w:val="center"/>
        </w:trPr>
        <w:tc>
          <w:tcPr>
            <w:tcW w:w="3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S3</w:t>
            </w:r>
          </w:p>
        </w:tc>
        <w:tc>
          <w:tcPr>
            <w:tcW w:w="112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5/38/2049</w:t>
            </w:r>
          </w:p>
        </w:tc>
        <w:tc>
          <w:tcPr>
            <w:tcW w:w="5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WGS3215</w:t>
            </w:r>
          </w:p>
        </w:tc>
        <w:tc>
          <w:tcPr>
            <w:tcW w:w="1182"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blaOXA-72</w:t>
            </w:r>
          </w:p>
        </w:tc>
        <w:tc>
          <w:tcPr>
            <w:tcW w:w="2327"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OXA-72</w:t>
            </w:r>
          </w:p>
        </w:tc>
      </w:tr>
      <w:tr w:rsidR="00801CFF">
        <w:trPr>
          <w:cantSplit/>
          <w:jc w:val="center"/>
        </w:trPr>
        <w:tc>
          <w:tcPr>
            <w:tcW w:w="3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S4</w:t>
            </w:r>
          </w:p>
        </w:tc>
        <w:tc>
          <w:tcPr>
            <w:tcW w:w="112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5/36/2049</w:t>
            </w:r>
          </w:p>
        </w:tc>
        <w:tc>
          <w:tcPr>
            <w:tcW w:w="5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WGS3216</w:t>
            </w:r>
          </w:p>
        </w:tc>
        <w:tc>
          <w:tcPr>
            <w:tcW w:w="1182"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Blood</w:t>
            </w:r>
          </w:p>
        </w:tc>
        <w:tc>
          <w:tcPr>
            <w:tcW w:w="12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blaOXA-24</w:t>
            </w:r>
          </w:p>
        </w:tc>
        <w:tc>
          <w:tcPr>
            <w:tcW w:w="2327" w:type="dxa"/>
            <w:shd w:val="clear" w:color="auto" w:fill="FFFFFF"/>
            <w:tcMar>
              <w:top w:w="0" w:type="dxa"/>
              <w:left w:w="0" w:type="dxa"/>
              <w:bottom w:w="0" w:type="dxa"/>
              <w:right w:w="0" w:type="dxa"/>
            </w:tcMar>
          </w:tcPr>
          <w:p w:rsidR="00801CFF" w:rsidRDefault="00801CFF">
            <w:pPr>
              <w:spacing w:before="20" w:after="20"/>
              <w:ind w:left="20" w:right="20"/>
            </w:pPr>
          </w:p>
        </w:tc>
        <w:tc>
          <w:tcPr>
            <w:tcW w:w="56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OXA-24</w:t>
            </w:r>
          </w:p>
        </w:tc>
      </w:tr>
      <w:tr w:rsidR="00801CFF">
        <w:trPr>
          <w:cantSplit/>
          <w:jc w:val="center"/>
        </w:trPr>
        <w:tc>
          <w:tcPr>
            <w:tcW w:w="3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S5</w:t>
            </w:r>
          </w:p>
        </w:tc>
        <w:tc>
          <w:tcPr>
            <w:tcW w:w="112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6/13/2049</w:t>
            </w:r>
          </w:p>
        </w:tc>
        <w:tc>
          <w:tcPr>
            <w:tcW w:w="5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WGS3217</w:t>
            </w:r>
          </w:p>
        </w:tc>
        <w:tc>
          <w:tcPr>
            <w:tcW w:w="1182"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blaOXA-24</w:t>
            </w:r>
          </w:p>
        </w:tc>
        <w:tc>
          <w:tcPr>
            <w:tcW w:w="2327" w:type="dxa"/>
            <w:shd w:val="clear" w:color="auto" w:fill="F2F2F2"/>
            <w:tcMar>
              <w:top w:w="0" w:type="dxa"/>
              <w:left w:w="0" w:type="dxa"/>
              <w:bottom w:w="0" w:type="dxa"/>
              <w:right w:w="0" w:type="dxa"/>
            </w:tcMar>
          </w:tcPr>
          <w:p w:rsidR="00801CFF" w:rsidRDefault="00801CFF">
            <w:pPr>
              <w:spacing w:before="20" w:after="20"/>
              <w:ind w:left="20" w:right="20"/>
            </w:pPr>
          </w:p>
        </w:tc>
        <w:tc>
          <w:tcPr>
            <w:tcW w:w="56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OXA-24</w:t>
            </w:r>
          </w:p>
        </w:tc>
      </w:tr>
      <w:tr w:rsidR="00801CFF">
        <w:trPr>
          <w:cantSplit/>
          <w:jc w:val="center"/>
        </w:trPr>
        <w:tc>
          <w:tcPr>
            <w:tcW w:w="3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S6</w:t>
            </w:r>
          </w:p>
        </w:tc>
        <w:tc>
          <w:tcPr>
            <w:tcW w:w="112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6/15/2049</w:t>
            </w:r>
          </w:p>
        </w:tc>
        <w:tc>
          <w:tcPr>
            <w:tcW w:w="5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WGS3218</w:t>
            </w:r>
          </w:p>
        </w:tc>
        <w:tc>
          <w:tcPr>
            <w:tcW w:w="1182"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Skin</w:t>
            </w:r>
          </w:p>
        </w:tc>
        <w:tc>
          <w:tcPr>
            <w:tcW w:w="1259"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blaOXA-72</w:t>
            </w:r>
          </w:p>
        </w:tc>
        <w:tc>
          <w:tcPr>
            <w:tcW w:w="2327"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OXA-72</w:t>
            </w:r>
          </w:p>
        </w:tc>
      </w:tr>
      <w:tr w:rsidR="00801CFF">
        <w:trPr>
          <w:cantSplit/>
          <w:jc w:val="center"/>
        </w:trPr>
        <w:tc>
          <w:tcPr>
            <w:tcW w:w="3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S7</w:t>
            </w:r>
          </w:p>
        </w:tc>
        <w:tc>
          <w:tcPr>
            <w:tcW w:w="112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5/25/2049</w:t>
            </w:r>
          </w:p>
        </w:tc>
        <w:tc>
          <w:tcPr>
            <w:tcW w:w="5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WGS3219</w:t>
            </w:r>
          </w:p>
        </w:tc>
        <w:tc>
          <w:tcPr>
            <w:tcW w:w="1182"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Floor Drain</w:t>
            </w:r>
          </w:p>
        </w:tc>
        <w:tc>
          <w:tcPr>
            <w:tcW w:w="1259"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blaOXA-72</w:t>
            </w:r>
          </w:p>
        </w:tc>
        <w:tc>
          <w:tcPr>
            <w:tcW w:w="2327"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Environmental Sample obtained from outbreak site.</w:t>
            </w:r>
          </w:p>
        </w:tc>
        <w:tc>
          <w:tcPr>
            <w:tcW w:w="565"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10"/>
                <w:szCs w:val="10"/>
              </w:rPr>
              <w:t>OXA-72</w:t>
            </w:r>
          </w:p>
        </w:tc>
      </w:tr>
    </w:tbl>
    <w:p w:rsidR="00801CFF" w:rsidRDefault="00C50AB0">
      <w:r>
        <w:br w:type="page"/>
      </w:r>
    </w:p>
    <w:p w:rsidR="00801CFF" w:rsidRDefault="00C50AB0">
      <w:pPr>
        <w:pStyle w:val="Heading1"/>
      </w:pPr>
      <w:bookmarkStart w:id="2" w:name="relatedness"/>
      <w:bookmarkEnd w:id="1"/>
      <w:r>
        <w:lastRenderedPageBreak/>
        <w:t>RELATEDNESS</w:t>
      </w:r>
    </w:p>
    <w:p w:rsidR="00801CFF" w:rsidRDefault="00C50AB0">
      <w:pPr>
        <w:pStyle w:val="Heading2"/>
      </w:pPr>
      <w:bookmarkStart w:id="3" w:name="heatmap"/>
      <w:r>
        <w:t>HEATMAP</w:t>
      </w:r>
    </w:p>
    <w:p w:rsidR="00801CFF" w:rsidRDefault="00C50AB0">
      <w:r>
        <w:rPr>
          <w:rFonts w:ascii="Arial" w:eastAsia="Arial" w:hAnsi="Arial" w:cs="Arial"/>
          <w:color w:val="000000"/>
        </w:rPr>
        <w:t>The number of Single Nucleotide Polymorphisms (SNPs) between each sample is shown on the heatmap below. There is no established rule for determining how many SNPs are needed to classify an outbreak. Generally it is best to look for patterns in the data bet</w:t>
      </w:r>
      <w:r>
        <w:rPr>
          <w:rFonts w:ascii="Arial" w:eastAsia="Arial" w:hAnsi="Arial" w:cs="Arial"/>
          <w:color w:val="000000"/>
        </w:rPr>
        <w:t xml:space="preserve">ween the SNP data and the core-genome tree. The samples are ordered based on the euclidean distance between each sample. </w:t>
      </w:r>
    </w:p>
    <w:p w:rsidR="00801CFF" w:rsidRDefault="00C50AB0">
      <w:pPr>
        <w:pBdr>
          <w:top w:val="none" w:sz="0" w:space="0" w:color="000000"/>
          <w:left w:val="none" w:sz="0" w:space="0" w:color="000000"/>
          <w:bottom w:val="none" w:sz="0" w:space="0" w:color="000000"/>
          <w:right w:val="none" w:sz="0" w:space="0" w:color="000000"/>
        </w:pBdr>
        <w:spacing w:after="0"/>
      </w:pPr>
      <w:r>
        <w:rPr>
          <w:noProof/>
        </w:rPr>
        <w:drawing>
          <wp:inline distT="0" distB="0" distL="0" distR="0">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63500"/>
                    </a:xfrm>
                    <a:prstGeom prst="rect">
                      <a:avLst/>
                    </a:prstGeom>
                    <a:noFill/>
                  </pic:spPr>
                </pic:pic>
              </a:graphicData>
            </a:graphic>
          </wp:inline>
        </w:drawing>
      </w:r>
    </w:p>
    <w:p w:rsidR="00801CFF" w:rsidRDefault="00C50AB0">
      <w:r>
        <w:br w:type="page"/>
      </w:r>
    </w:p>
    <w:p w:rsidR="00801CFF" w:rsidRDefault="00C50AB0">
      <w:pPr>
        <w:pStyle w:val="Heading2"/>
      </w:pPr>
      <w:bookmarkStart w:id="4" w:name="phylogenetic-tree"/>
      <w:bookmarkEnd w:id="3"/>
      <w:r>
        <w:lastRenderedPageBreak/>
        <w:t>PHYLOGENETIC TREE</w:t>
      </w:r>
    </w:p>
    <w:p w:rsidR="00801CFF" w:rsidRDefault="00C50AB0">
      <w:r>
        <w:rPr>
          <w:rFonts w:ascii="Arial" w:eastAsia="Arial" w:hAnsi="Arial" w:cs="Arial"/>
          <w:color w:val="000000"/>
        </w:rPr>
        <w:t xml:space="preserve">The core-genome phylogenetic tree examines the genetic diversity across the core set of genes shared across all </w:t>
      </w:r>
      <w:r>
        <w:rPr>
          <w:rFonts w:ascii="Arial" w:eastAsia="Arial" w:hAnsi="Arial" w:cs="Arial"/>
          <w:color w:val="000000"/>
        </w:rPr>
        <w:t>samples in the in the analysis. Related samples will generally share a recent common ancestor and a small amount of horizontal distance on the tree. The number of core-genes provides an indication of how diverse the sample is. A low number of core genes su</w:t>
      </w:r>
      <w:r>
        <w:rPr>
          <w:rFonts w:ascii="Arial" w:eastAsia="Arial" w:hAnsi="Arial" w:cs="Arial"/>
          <w:color w:val="000000"/>
        </w:rPr>
        <w:t xml:space="preserve">ggests the dataset is genetically diverse, or an outlier is present in the dataset. </w:t>
      </w:r>
    </w:p>
    <w:p w:rsidR="00801CFF" w:rsidRDefault="00C50AB0">
      <w:pPr>
        <w:pStyle w:val="BodyText"/>
      </w:pPr>
      <w:r>
        <w:rPr>
          <w:rFonts w:ascii="Arial" w:eastAsia="Arial" w:hAnsi="Arial" w:cs="Arial"/>
          <w:color w:val="000000"/>
        </w:rPr>
        <w:t xml:space="preserve">Core Genes Identified:  2994  </w:t>
      </w:r>
    </w:p>
    <w:p w:rsidR="00801CFF" w:rsidRDefault="00C50AB0">
      <w:pPr>
        <w:pStyle w:val="BodyText"/>
      </w:pPr>
      <w:r>
        <w:rPr>
          <w:rFonts w:ascii="Arial" w:eastAsia="Arial" w:hAnsi="Arial" w:cs="Arial"/>
          <w:color w:val="000000"/>
        </w:rPr>
        <w:t>Total Genes Identified:  4574</w:t>
      </w:r>
    </w:p>
    <w:p w:rsidR="00801CFF" w:rsidRDefault="00C50AB0">
      <w:pPr>
        <w:pBdr>
          <w:top w:val="none" w:sz="0" w:space="0" w:color="000000"/>
          <w:left w:val="none" w:sz="0" w:space="0" w:color="000000"/>
          <w:bottom w:val="none" w:sz="0" w:space="0" w:color="000000"/>
          <w:right w:val="none" w:sz="0" w:space="0" w:color="000000"/>
        </w:pBdr>
        <w:spacing w:after="0"/>
      </w:pPr>
      <w:r>
        <w:rPr>
          <w:noProof/>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550" cy="82550"/>
                    </a:xfrm>
                    <a:prstGeom prst="rect">
                      <a:avLst/>
                    </a:prstGeom>
                    <a:noFill/>
                  </pic:spPr>
                </pic:pic>
              </a:graphicData>
            </a:graphic>
          </wp:inline>
        </w:drawing>
      </w:r>
    </w:p>
    <w:p w:rsidR="00801CFF" w:rsidRDefault="00C50AB0">
      <w:r>
        <w:br w:type="page"/>
      </w:r>
    </w:p>
    <w:p w:rsidR="00801CFF" w:rsidRDefault="00C50AB0">
      <w:pPr>
        <w:pStyle w:val="Heading1"/>
      </w:pPr>
      <w:bookmarkStart w:id="5" w:name="ar-gene-summary"/>
      <w:bookmarkEnd w:id="2"/>
      <w:bookmarkEnd w:id="4"/>
      <w:r>
        <w:lastRenderedPageBreak/>
        <w:t>AR GENE SUMMARY</w:t>
      </w:r>
    </w:p>
    <w:p w:rsidR="00801CFF" w:rsidRDefault="00C50AB0">
      <w:r>
        <w:rPr>
          <w:rFonts w:ascii="Arial" w:eastAsia="Arial" w:hAnsi="Arial" w:cs="Arial"/>
          <w:color w:val="000000"/>
        </w:rPr>
        <w:t xml:space="preserve">This table shows a summary of all genes detected using the NCBI AMR Finder Plus detection tool. </w:t>
      </w:r>
    </w:p>
    <w:tbl>
      <w:tblPr>
        <w:tblW w:w="0" w:type="auto"/>
        <w:jc w:val="center"/>
        <w:tblLayout w:type="fixed"/>
        <w:tblLook w:val="0420" w:firstRow="1" w:lastRow="0" w:firstColumn="0" w:lastColumn="0" w:noHBand="0" w:noVBand="1"/>
      </w:tblPr>
      <w:tblGrid>
        <w:gridCol w:w="980"/>
        <w:gridCol w:w="1396"/>
        <w:gridCol w:w="1200"/>
        <w:gridCol w:w="980"/>
      </w:tblGrid>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Sample</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Gene</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Coverage</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Identity</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98</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tet(B)</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aph(6)-Id</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aph(3'')-Ib</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blaADC-30</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dfrA17</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msr(E)</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mph(E)</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aacA16</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blaOXA-72</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tet(B)</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aph(6)-Id</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aph(3'')-Ib</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lastRenderedPageBreak/>
              <w:t>S3</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aacA16</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blaOXA-72</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98</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blaOXA-829</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mph(E)</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75</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aph(3')-Ia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aph(3')-VIa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96</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98</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tet(B)</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aph(6)-Id</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aph(3'')-Ib</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aacA16</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blaOXA-72</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blaOXA-66</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99</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aph(3'')-Ib</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lastRenderedPageBreak/>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aph(6)-Id</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tet(B)</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qacEdelta1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aadA5</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armA</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aacA16</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blaOXA-72</w:t>
            </w:r>
          </w:p>
        </w:tc>
        <w:tc>
          <w:tcPr>
            <w:tcW w:w="120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100</w:t>
            </w:r>
          </w:p>
        </w:tc>
      </w:tr>
    </w:tbl>
    <w:p w:rsidR="00801CFF" w:rsidRDefault="00C50AB0">
      <w:r>
        <w:br w:type="page"/>
      </w:r>
    </w:p>
    <w:p w:rsidR="00801CFF" w:rsidRDefault="00C50AB0">
      <w:pPr>
        <w:pStyle w:val="Heading1"/>
      </w:pPr>
      <w:bookmarkStart w:id="6" w:name="additional-analyses"/>
      <w:bookmarkEnd w:id="5"/>
      <w:r>
        <w:lastRenderedPageBreak/>
        <w:t>ADDITIONAL ANALYSES</w:t>
      </w:r>
    </w:p>
    <w:p w:rsidR="00801CFF" w:rsidRDefault="00C50AB0">
      <w:r>
        <w:rPr>
          <w:rFonts w:ascii="Arial" w:eastAsia="Arial" w:hAnsi="Arial" w:cs="Arial"/>
          <w:color w:val="000000"/>
        </w:rPr>
        <w:t xml:space="preserve">This table shows the MLST scheme(s) identified for each sample using mlst (https://github.com/tseemann/mlst): </w:t>
      </w:r>
    </w:p>
    <w:p w:rsidR="00801CFF" w:rsidRDefault="00801CFF">
      <w:pPr>
        <w:pStyle w:val="BodyText"/>
      </w:pPr>
    </w:p>
    <w:tbl>
      <w:tblPr>
        <w:tblW w:w="0" w:type="auto"/>
        <w:jc w:val="center"/>
        <w:tblLayout w:type="fixed"/>
        <w:tblLook w:val="0420" w:firstRow="1" w:lastRow="0" w:firstColumn="0" w:lastColumn="0" w:noHBand="0" w:noVBand="1"/>
      </w:tblPr>
      <w:tblGrid>
        <w:gridCol w:w="980"/>
        <w:gridCol w:w="2851"/>
      </w:tblGrid>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Sample</w:t>
            </w:r>
          </w:p>
        </w:tc>
        <w:tc>
          <w:tcPr>
            <w:tcW w:w="2851"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b/>
                <w:color w:val="000000"/>
                <w:sz w:val="22"/>
                <w:szCs w:val="22"/>
              </w:rPr>
              <w:t>MLST Scheme</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S1</w:t>
            </w:r>
          </w:p>
        </w:tc>
        <w:tc>
          <w:tcPr>
            <w:tcW w:w="2851"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ST406 (Pasteur)</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S2</w:t>
            </w:r>
          </w:p>
        </w:tc>
        <w:tc>
          <w:tcPr>
            <w:tcW w:w="2851"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ST2 (Pasteur)</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S3</w:t>
            </w:r>
          </w:p>
        </w:tc>
        <w:tc>
          <w:tcPr>
            <w:tcW w:w="2851"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ST2 (Pasteur)</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S4</w:t>
            </w:r>
          </w:p>
        </w:tc>
        <w:tc>
          <w:tcPr>
            <w:tcW w:w="2851"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ST406 (Pasteur)</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S5</w:t>
            </w:r>
          </w:p>
        </w:tc>
        <w:tc>
          <w:tcPr>
            <w:tcW w:w="2851"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ST406 (Pasteur)</w:t>
            </w:r>
          </w:p>
        </w:tc>
      </w:tr>
      <w:tr w:rsidR="00801CFF">
        <w:trPr>
          <w:cantSplit/>
          <w:jc w:val="center"/>
        </w:trPr>
        <w:tc>
          <w:tcPr>
            <w:tcW w:w="980"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S6</w:t>
            </w:r>
          </w:p>
        </w:tc>
        <w:tc>
          <w:tcPr>
            <w:tcW w:w="2851" w:type="dxa"/>
            <w:shd w:val="clear" w:color="auto" w:fill="FFFFFF"/>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ST2 (Pasteur)</w:t>
            </w:r>
          </w:p>
        </w:tc>
      </w:tr>
      <w:tr w:rsidR="00801CFF">
        <w:trPr>
          <w:cantSplit/>
          <w:jc w:val="center"/>
        </w:trPr>
        <w:tc>
          <w:tcPr>
            <w:tcW w:w="980"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S7</w:t>
            </w:r>
          </w:p>
        </w:tc>
        <w:tc>
          <w:tcPr>
            <w:tcW w:w="2851" w:type="dxa"/>
            <w:shd w:val="clear" w:color="auto" w:fill="F2F2F2"/>
            <w:tcMar>
              <w:top w:w="0" w:type="dxa"/>
              <w:left w:w="0" w:type="dxa"/>
              <w:bottom w:w="0" w:type="dxa"/>
              <w:right w:w="0" w:type="dxa"/>
            </w:tcMar>
          </w:tcPr>
          <w:p w:rsidR="00801CFF" w:rsidRDefault="00C50AB0">
            <w:pPr>
              <w:spacing w:before="20" w:after="20"/>
              <w:ind w:left="20" w:right="20"/>
            </w:pPr>
            <w:r>
              <w:rPr>
                <w:rFonts w:ascii="Arial" w:eastAsia="DejaVu Sans" w:hAnsi="DejaVu Sans" w:cs="DejaVu Sans"/>
                <w:color w:val="000000"/>
                <w:sz w:val="22"/>
                <w:szCs w:val="22"/>
              </w:rPr>
              <w:t>PubMLST ST2 (Pasteur)</w:t>
            </w:r>
          </w:p>
        </w:tc>
      </w:tr>
    </w:tbl>
    <w:p w:rsidR="00801CFF" w:rsidRDefault="00C50AB0">
      <w:r>
        <w:br w:type="page"/>
      </w:r>
    </w:p>
    <w:p w:rsidR="00801CFF" w:rsidRDefault="00C50AB0">
      <w:pPr>
        <w:pStyle w:val="Heading1"/>
      </w:pPr>
      <w:bookmarkStart w:id="7" w:name="methods"/>
      <w:bookmarkEnd w:id="6"/>
      <w:r>
        <w:lastRenderedPageBreak/>
        <w:t>METHODS</w:t>
      </w:r>
    </w:p>
    <w:p w:rsidR="00801CFF" w:rsidRDefault="00C50AB0">
      <w:r>
        <w:rPr>
          <w:rFonts w:ascii="Arial" w:eastAsia="Arial" w:hAnsi="Arial" w:cs="Arial"/>
          <w:color w:val="000000"/>
        </w:rPr>
        <w:t>The figures shown here were generated using sequence data processed with the Dryad v3.0 (https://github.com/wslh-bio/dryad) and Spriggan v1.1.0 (https://github.com/wslh-bio/spriggan) analysis pipelines. If you have questions about this report please contac</w:t>
      </w:r>
      <w:r>
        <w:rPr>
          <w:rFonts w:ascii="Arial" w:eastAsia="Arial" w:hAnsi="Arial" w:cs="Arial"/>
          <w:color w:val="000000"/>
        </w:rPr>
        <w:t xml:space="preserve">t abigail.shockey@slh.wisc.edu. </w:t>
      </w:r>
    </w:p>
    <w:p w:rsidR="00801CFF" w:rsidRDefault="00C50AB0">
      <w:r>
        <w:br w:type="page"/>
      </w:r>
    </w:p>
    <w:p w:rsidR="00801CFF" w:rsidRDefault="00C50AB0">
      <w:pPr>
        <w:pStyle w:val="Heading1"/>
      </w:pPr>
      <w:bookmarkStart w:id="8" w:name="disclaimer"/>
      <w:bookmarkStart w:id="9" w:name="_GoBack"/>
      <w:bookmarkEnd w:id="7"/>
      <w:bookmarkEnd w:id="9"/>
      <w:r>
        <w:lastRenderedPageBreak/>
        <w:t>DISCLAIMER</w:t>
      </w:r>
    </w:p>
    <w:p w:rsidR="00801CFF" w:rsidRDefault="00C50AB0">
      <w:r>
        <w:rPr>
          <w:rFonts w:ascii="Arial" w:eastAsia="Arial" w:hAnsi="Arial" w:cs="Arial"/>
          <w:color w:val="000000"/>
        </w:rPr>
        <w:t>The information included in this report should only be used to support infection prevention measures. This report should not be used to guide treatment decisions, nor should it be included in the patient record</w:t>
      </w:r>
      <w:r>
        <w:rPr>
          <w:rFonts w:ascii="Arial" w:eastAsia="Arial" w:hAnsi="Arial" w:cs="Arial"/>
          <w:color w:val="000000"/>
        </w:rPr>
        <w:t>. Whole-genome sequencing analysis is a rapidly evolving technology. Whole-genome sequencing and SNP analysis will continue to be adjusted and refined over time due to the varied nature of bacterial genomes, limitations on available reference genomes and c</w:t>
      </w:r>
      <w:r>
        <w:rPr>
          <w:rFonts w:ascii="Arial" w:eastAsia="Arial" w:hAnsi="Arial" w:cs="Arial"/>
          <w:color w:val="000000"/>
        </w:rPr>
        <w:t xml:space="preserve">ontinual assessment of the inclusion of mobile genetic elements in this analysis. These results represent the most advanced method currently available for genome comparisons. </w:t>
      </w:r>
      <w:bookmarkEnd w:id="8"/>
    </w:p>
    <w:sectPr w:rsidR="00801CFF">
      <w:type w:val="continuous"/>
      <w:pgSz w:w="12240" w:h="15840"/>
      <w:pgMar w:top="1440" w:right="1080" w:bottom="1440" w:left="1080" w:header="14" w:footer="14" w:gutter="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AB0" w:rsidRDefault="00C50AB0">
      <w:pPr>
        <w:spacing w:after="0"/>
      </w:pPr>
      <w:r>
        <w:separator/>
      </w:r>
    </w:p>
  </w:endnote>
  <w:endnote w:type="continuationSeparator" w:id="0">
    <w:p w:rsidR="00C50AB0" w:rsidRDefault="00C50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AB0" w:rsidRDefault="00C50AB0">
      <w:r>
        <w:separator/>
      </w:r>
    </w:p>
  </w:footnote>
  <w:footnote w:type="continuationSeparator" w:id="0">
    <w:p w:rsidR="00C50AB0" w:rsidRDefault="00C50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53834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FF"/>
    <w:rsid w:val="00662AC4"/>
    <w:rsid w:val="00801CFF"/>
    <w:rsid w:val="00C50A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E2109-3E91-4B17-B810-D11B1BE6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837</Words>
  <Characters>4776</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PUBLIC HEALTH WHOLE GENOME SEQUENCING ANALYSIS REPORT</vt:lpstr>
      <vt:lpstr>Title</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HEALTH WHOLE GENOME SEQUENCING ANALYSIS REPORT</dc:title>
  <dc:creator>Shockey, Abigail</dc:creator>
  <cp:keywords/>
  <cp:lastModifiedBy>Shockey, Abigail</cp:lastModifiedBy>
  <cp:revision>2</cp:revision>
  <dcterms:created xsi:type="dcterms:W3CDTF">2021-11-10T20:54:00Z</dcterms:created>
  <dcterms:modified xsi:type="dcterms:W3CDTF">2021-11-10T20:54:00Z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