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BCFA0">
      <w:pPr>
        <w:pStyle w:val="31"/>
        <w:jc w:val="center"/>
      </w:pPr>
      <w:r>
        <w:t>Matrix</w:t>
      </w:r>
      <w:r>
        <w:rPr>
          <w:rFonts w:hint="eastAsia" w:eastAsia="宋体"/>
          <w:lang w:val="en-US" w:eastAsia="zh-CN"/>
        </w:rPr>
        <w:t>测试需求管理工具</w:t>
      </w:r>
      <w:r>
        <w:t xml:space="preserve"> 用户使用手册</w:t>
      </w:r>
    </w:p>
    <w:p w14:paraId="5D83BFEF">
      <w:pPr>
        <w:jc w:val="center"/>
      </w:pPr>
      <w:r>
        <w:rPr>
          <w:b/>
          <w:sz w:val="32"/>
        </w:rPr>
        <w:t>从登录到评审与变更分析</w:t>
      </w:r>
    </w:p>
    <w:p w14:paraId="1F40215E">
      <w:r>
        <w:t>本手册面向项目负责人、测试需求编制人员、评审人员和系统管理员，覆盖登录、创建项目、系统设置、编辑与评审第三方测试需求、下载成果及版本变更分析。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2A7A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3FF"/>
          </w:tcPr>
          <w:p w14:paraId="307C0A8C">
            <w:r>
              <w:rPr>
                <w:b/>
                <w:color w:val="18599D"/>
              </w:rPr>
              <w:t>快速路径  登录 → 新建项目并上传 ZIP → 生成需求 → 编辑 → 完成评审 → 下载 → 变更分析</w:t>
            </w:r>
          </w:p>
        </w:tc>
      </w:tr>
    </w:tbl>
    <w:p w14:paraId="089F4956">
      <w:pPr>
        <w:pStyle w:val="3"/>
      </w:pPr>
      <w:r>
        <w:t>使用前准备</w:t>
      </w:r>
    </w:p>
    <w:p w14:paraId="56D0A8E2">
      <w:pPr>
        <w:pStyle w:val="16"/>
      </w:pPr>
      <w:r>
        <w:t>准备管理员分配的账号。首次登录后建议修改初始密码。</w:t>
      </w:r>
    </w:p>
    <w:p w14:paraId="42E21705">
      <w:pPr>
        <w:pStyle w:val="16"/>
      </w:pPr>
      <w:r>
        <w:t>准备仅包含 DOCX 源文档的 ZIP 压缩包，不要混入 DOC、PDF或其他格式。</w:t>
      </w:r>
      <w:r>
        <w:rPr>
          <w:rFonts w:hint="eastAsia"/>
          <w:b/>
          <w:bCs/>
          <w:color w:val="FF0000"/>
          <w:highlight w:val="none"/>
          <w:lang w:val="en-US" w:eastAsia="zh-CN"/>
        </w:rPr>
        <w:t>注意：请将DOCX里面的标题样式全部改为“标题1”，“标题2”，“标题3”... ...</w:t>
      </w:r>
    </w:p>
    <w:p w14:paraId="3E67F3EC">
      <w:pPr>
        <w:pStyle w:val="16"/>
      </w:pPr>
      <w:r>
        <w:t>为项目使用清晰且唯一的名称；生成任务运行期间不要重复创建同名项目。</w:t>
      </w:r>
    </w:p>
    <w:p w14:paraId="432E66DE">
      <w:pPr>
        <w:pStyle w:val="3"/>
      </w:pPr>
      <w:r>
        <w:t>1 登录系统</w:t>
      </w:r>
    </w:p>
    <w:p w14:paraId="04E67799">
      <w:pPr>
        <w:jc w:val="center"/>
      </w:pPr>
      <w:r>
        <w:drawing>
          <wp:inline distT="0" distB="0" distL="114300" distR="114300">
            <wp:extent cx="6327140" cy="4188460"/>
            <wp:effectExtent l="0" t="0" r="1016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56DA">
      <w:pPr>
        <w:jc w:val="center"/>
      </w:pPr>
      <w:r>
        <w:rPr>
          <w:i/>
          <w:sz w:val="18"/>
        </w:rPr>
        <w:t>图 1  登录页面操作示意</w:t>
      </w:r>
    </w:p>
    <w:p w14:paraId="46D31AF4">
      <w:pPr>
        <w:pStyle w:val="14"/>
      </w:pPr>
      <w:r>
        <w:t>打开系统地址。</w:t>
      </w:r>
    </w:p>
    <w:p w14:paraId="04C6FB27">
      <w:pPr>
        <w:pStyle w:val="14"/>
      </w:pPr>
      <w:r>
        <w:t>输入用户名和密码。</w:t>
      </w:r>
    </w:p>
    <w:p w14:paraId="5D0E061C">
      <w:pPr>
        <w:pStyle w:val="14"/>
      </w:pPr>
      <w:r>
        <w:t>单击“登录”进入项目列表。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8448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3FF"/>
          </w:tcPr>
          <w:p w14:paraId="6CCD03A8">
            <w:r>
              <w:rPr>
                <w:b/>
                <w:color w:val="18599D"/>
              </w:rPr>
              <w:t>登录失败时检查大小写、输入法和网络；仍失败请联系管理员。</w:t>
            </w:r>
          </w:p>
        </w:tc>
      </w:tr>
    </w:tbl>
    <w:p w14:paraId="2318173F">
      <w:pPr>
        <w:pStyle w:val="3"/>
      </w:pPr>
      <w:r>
        <w:t>2 创建和进入项目</w:t>
      </w:r>
    </w:p>
    <w:p w14:paraId="7EAB1C26">
      <w:pPr>
        <w:jc w:val="center"/>
      </w:pPr>
      <w:r>
        <w:drawing>
          <wp:inline distT="0" distB="0" distL="114300" distR="114300">
            <wp:extent cx="6325235" cy="1748155"/>
            <wp:effectExtent l="0" t="0" r="1206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523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B40C">
      <w:pPr>
        <w:jc w:val="center"/>
      </w:pPr>
      <w:r>
        <w:rPr>
          <w:i/>
          <w:sz w:val="18"/>
        </w:rPr>
        <w:t>图 2  项目列表与主要入口</w:t>
      </w:r>
    </w:p>
    <w:p w14:paraId="61EBABFB">
      <w:pPr>
        <w:pStyle w:val="16"/>
        <w:numPr>
          <w:ilvl w:val="0"/>
          <w:numId w:val="0"/>
        </w:numPr>
        <w:spacing w:after="100" w:line="276" w:lineRule="auto"/>
        <w:contextualSpacing/>
        <w:jc w:val="center"/>
      </w:pPr>
      <w:r>
        <w:drawing>
          <wp:inline distT="0" distB="0" distL="114300" distR="114300">
            <wp:extent cx="4445000" cy="3198495"/>
            <wp:effectExtent l="0" t="0" r="0" b="190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0EFA6">
      <w:pPr>
        <w:jc w:val="center"/>
      </w:pPr>
      <w:r>
        <w:rPr>
          <w:i/>
          <w:sz w:val="18"/>
        </w:rPr>
        <w:t>图 3  新建项目对话框</w:t>
      </w:r>
    </w:p>
    <w:p w14:paraId="4C384FA9">
      <w:pPr>
        <w:pStyle w:val="14"/>
        <w:numPr>
          <w:ilvl w:val="0"/>
          <w:numId w:val="7"/>
        </w:numPr>
      </w:pPr>
      <w:r>
        <w:t>单击“新建项目”。</w:t>
      </w:r>
    </w:p>
    <w:p w14:paraId="51F1B5B8">
      <w:pPr>
        <w:pStyle w:val="14"/>
        <w:numPr>
          <w:ilvl w:val="0"/>
          <w:numId w:val="7"/>
        </w:numPr>
      </w:pPr>
      <w:r>
        <w:t>填写项目名称。</w:t>
      </w:r>
    </w:p>
    <w:p w14:paraId="57A6DB3B">
      <w:pPr>
        <w:pStyle w:val="14"/>
        <w:numPr>
          <w:ilvl w:val="0"/>
          <w:numId w:val="7"/>
        </w:numPr>
      </w:pPr>
      <w:r>
        <w:t>上传仅含 DOCX 的 ZIP。</w:t>
      </w:r>
      <w:r>
        <w:rPr>
          <w:rFonts w:hint="eastAsia"/>
          <w:b/>
          <w:bCs/>
          <w:color w:val="FF0000"/>
          <w:highlight w:val="none"/>
          <w:lang w:val="en-US" w:eastAsia="zh-CN"/>
        </w:rPr>
        <w:t>注意：请将DOCX里面的标题样式全部改为“标题1”，“标题2”，“标题3”... ...</w:t>
      </w:r>
      <w:bookmarkStart w:id="0" w:name="_GoBack"/>
      <w:bookmarkEnd w:id="0"/>
    </w:p>
    <w:p w14:paraId="3CE0A237">
      <w:pPr>
        <w:pStyle w:val="14"/>
        <w:numPr>
          <w:ilvl w:val="0"/>
          <w:numId w:val="7"/>
        </w:numPr>
      </w:pPr>
      <w:r>
        <w:t>核对后单击“创建项目”。</w:t>
      </w:r>
    </w:p>
    <w:p w14:paraId="6721CAFB">
      <w:pPr>
        <w:pStyle w:val="14"/>
        <w:numPr>
          <w:ilvl w:val="0"/>
          <w:numId w:val="7"/>
        </w:numPr>
      </w:pPr>
      <w:r>
        <w:t>进入项目，启动生成并通过进度条与实时日志观察任务。</w:t>
      </w:r>
    </w:p>
    <w:p w14:paraId="7DC8A76A">
      <w:pPr>
        <w:pStyle w:val="14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6330315" cy="5751195"/>
            <wp:effectExtent l="0" t="0" r="698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575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7C1A">
      <w:pPr>
        <w:jc w:val="center"/>
        <w:rPr>
          <w:rFonts w:hint="default"/>
          <w:i/>
          <w:sz w:val="18"/>
          <w:lang w:val="en-US" w:eastAsia="zh-CN"/>
        </w:rPr>
      </w:pPr>
      <w:r>
        <w:rPr>
          <w:rFonts w:hint="eastAsia"/>
          <w:i/>
          <w:sz w:val="18"/>
          <w:lang w:val="en-US" w:eastAsia="zh-CN"/>
        </w:rPr>
        <w:t>图4 项目详情运行页</w:t>
      </w:r>
    </w:p>
    <w:p w14:paraId="6330D3E7">
      <w:pPr>
        <w:pStyle w:val="3"/>
      </w:pPr>
      <w:r>
        <w:t>3 系统设置</w:t>
      </w:r>
    </w:p>
    <w:p w14:paraId="2E742D49">
      <w:pPr>
        <w:jc w:val="center"/>
      </w:pPr>
      <w:r>
        <w:drawing>
          <wp:inline distT="0" distB="0" distL="114300" distR="114300">
            <wp:extent cx="6326505" cy="3872865"/>
            <wp:effectExtent l="0" t="0" r="10795" b="63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0180">
      <w:pPr>
        <w:jc w:val="center"/>
      </w:pPr>
      <w:r>
        <w:rPr>
          <w:i/>
          <w:sz w:val="18"/>
        </w:rPr>
        <w:t xml:space="preserve">图 </w:t>
      </w:r>
      <w:r>
        <w:rPr>
          <w:rFonts w:hint="eastAsia"/>
          <w:i/>
          <w:sz w:val="18"/>
          <w:lang w:val="en-US" w:eastAsia="zh-CN"/>
        </w:rPr>
        <w:t>5</w:t>
      </w:r>
      <w:r>
        <w:rPr>
          <w:i/>
          <w:sz w:val="18"/>
        </w:rPr>
        <w:t xml:space="preserve"> 系统设置操作示意</w:t>
      </w:r>
    </w:p>
    <w:p w14:paraId="1C0A2C03">
      <w:pPr>
        <w:pStyle w:val="4"/>
      </w:pPr>
      <w:r>
        <w:t>3.1 修改密码</w:t>
      </w:r>
    </w:p>
    <w:p w14:paraId="2B097DDA">
      <w:pPr>
        <w:pStyle w:val="14"/>
        <w:numPr>
          <w:ilvl w:val="0"/>
          <w:numId w:val="8"/>
        </w:numPr>
      </w:pPr>
      <w:r>
        <w:t>打开“设置”并选择“修改密码”。</w:t>
      </w:r>
    </w:p>
    <w:p w14:paraId="7AF43990">
      <w:pPr>
        <w:pStyle w:val="14"/>
        <w:numPr>
          <w:ilvl w:val="0"/>
          <w:numId w:val="8"/>
        </w:numPr>
      </w:pPr>
      <w:r>
        <w:t>输入当前密码、新密码和确认密码后提交。</w:t>
      </w:r>
    </w:p>
    <w:p w14:paraId="30E845E8">
      <w:pPr>
        <w:pStyle w:val="4"/>
      </w:pPr>
      <w:r>
        <w:t>3.2 添加用户</w:t>
      </w:r>
    </w:p>
    <w:p w14:paraId="36A33331">
      <w:pPr>
        <w:pStyle w:val="14"/>
        <w:numPr>
          <w:ilvl w:val="0"/>
          <w:numId w:val="9"/>
        </w:numPr>
      </w:pPr>
      <w:r>
        <w:t>选择“添加用户”。</w:t>
      </w:r>
    </w:p>
    <w:p w14:paraId="3FD7ED16">
      <w:pPr>
        <w:pStyle w:val="14"/>
        <w:numPr>
          <w:ilvl w:val="0"/>
          <w:numId w:val="9"/>
        </w:numPr>
      </w:pPr>
      <w:r>
        <w:t>填写用户名、初始密码与确认密码并创建。</w:t>
      </w:r>
    </w:p>
    <w:p w14:paraId="4290BA07">
      <w:pPr>
        <w:pStyle w:val="4"/>
      </w:pPr>
      <w:r>
        <w:t>3.3 OpenCode 配置</w:t>
      </w:r>
    </w:p>
    <w:p w14:paraId="250AB3A6">
      <w:pPr>
        <w:pStyle w:val="16"/>
      </w:pPr>
      <w:r>
        <w:t>仅管理员可修改，配置可能包含明文 API Key。</w:t>
      </w:r>
    </w:p>
    <w:p w14:paraId="03284697">
      <w:pPr>
        <w:pStyle w:val="16"/>
      </w:pPr>
      <w:r>
        <w:t>修改 JSON 后先格式化，再保存并应用。</w:t>
      </w:r>
    </w:p>
    <w:p w14:paraId="4833CFFC">
      <w:pPr>
        <w:pStyle w:val="16"/>
      </w:pPr>
      <w:r>
        <w:t>不要随意删除 model 或 plugin 字段。</w:t>
      </w:r>
    </w:p>
    <w:p w14:paraId="3149A150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下面给一个参考配置：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8"/>
      </w:tblGrid>
      <w:tr w14:paraId="71DFF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8" w:type="dxa"/>
          </w:tcPr>
          <w:p w14:paraId="44C57A90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>{</w:t>
            </w:r>
          </w:p>
          <w:p w14:paraId="268500A7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"$schema": "https://opencode.ai/config.json",</w:t>
            </w:r>
          </w:p>
          <w:p w14:paraId="641237EC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"model": "private-llm/deepseek-v4-flash",</w:t>
            </w:r>
          </w:p>
          <w:p w14:paraId="579D6FC4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"plugin": [</w:t>
            </w:r>
          </w:p>
          <w:p w14:paraId="2C739CB6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"file:///plugin/dist/index.js"</w:t>
            </w:r>
          </w:p>
          <w:p w14:paraId="00C5D590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],</w:t>
            </w:r>
          </w:p>
          <w:p w14:paraId="136B4BA5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"provider": {</w:t>
            </w:r>
          </w:p>
          <w:p w14:paraId="1BB10B3A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"private-llm": {</w:t>
            </w:r>
          </w:p>
          <w:p w14:paraId="3CBA39E3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  "npm": "@ai-sdk/openai-compatible",</w:t>
            </w:r>
          </w:p>
          <w:p w14:paraId="3144F546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  "name": "Sunwise models",</w:t>
            </w:r>
          </w:p>
          <w:p w14:paraId="2B557CA9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  "options": {</w:t>
            </w:r>
          </w:p>
          <w:p w14:paraId="7A7B0525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    "baseURL": "http://172.30.0.6:10000/v1",</w:t>
            </w:r>
          </w:p>
          <w:p w14:paraId="036ABFC6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    "apiKey": "wangsheng_key"</w:t>
            </w:r>
          </w:p>
          <w:p w14:paraId="59993958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  },</w:t>
            </w:r>
          </w:p>
          <w:p w14:paraId="36DB0328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  "models": {</w:t>
            </w:r>
          </w:p>
          <w:p w14:paraId="58298243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    "deepseek-v4-flash": {</w:t>
            </w:r>
          </w:p>
          <w:p w14:paraId="6266DF7E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      "name": "deepseek-v4-flash",</w:t>
            </w:r>
          </w:p>
          <w:p w14:paraId="113DFBB3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      "tool_call": true</w:t>
            </w:r>
          </w:p>
          <w:p w14:paraId="37E6DC2F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    }</w:t>
            </w:r>
          </w:p>
          <w:p w14:paraId="4AFBC9DE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  }</w:t>
            </w:r>
          </w:p>
          <w:p w14:paraId="1BEB67FA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  }</w:t>
            </w:r>
          </w:p>
          <w:p w14:paraId="4EE9D0DB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 xml:space="preserve">  }</w:t>
            </w:r>
          </w:p>
          <w:p w14:paraId="15A38113">
            <w:pPr>
              <w:pStyle w:val="16"/>
              <w:numPr>
                <w:ilvl w:val="0"/>
                <w:numId w:val="0"/>
              </w:numP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1"/>
                <w:vertAlign w:val="baseline"/>
                <w:lang w:val="en-US" w:eastAsia="zh-CN"/>
              </w:rPr>
              <w:t>}</w:t>
            </w:r>
          </w:p>
        </w:tc>
      </w:tr>
    </w:tbl>
    <w:p w14:paraId="39C20101">
      <w:pPr>
        <w:pStyle w:val="16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29F72BE">
      <w:pPr>
        <w:pStyle w:val="3"/>
      </w:pPr>
      <w:r>
        <w:t>4 评审工作区</w:t>
      </w:r>
    </w:p>
    <w:p w14:paraId="185F407A">
      <w:pPr>
        <w:jc w:val="center"/>
      </w:pPr>
      <w:r>
        <w:drawing>
          <wp:inline distT="0" distB="0" distL="114300" distR="114300">
            <wp:extent cx="6320790" cy="2745740"/>
            <wp:effectExtent l="0" t="0" r="381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1254">
      <w:pPr>
        <w:jc w:val="center"/>
      </w:pPr>
      <w:r>
        <w:rPr>
          <w:i/>
          <w:sz w:val="18"/>
        </w:rPr>
        <w:t xml:space="preserve">图 </w:t>
      </w:r>
      <w:r>
        <w:rPr>
          <w:rFonts w:hint="eastAsia"/>
          <w:i/>
          <w:sz w:val="18"/>
          <w:lang w:val="en-US" w:eastAsia="zh-CN"/>
        </w:rPr>
        <w:t>6</w:t>
      </w:r>
      <w:r>
        <w:rPr>
          <w:i/>
          <w:sz w:val="18"/>
        </w:rPr>
        <w:t xml:space="preserve">  双栏评审工作区</w:t>
      </w:r>
    </w:p>
    <w:p w14:paraId="337DAD87">
      <w:pPr>
        <w:pStyle w:val="16"/>
      </w:pPr>
      <w:r>
        <w:t>左侧源文档，右侧第三方测试需求，便于逐段对照。</w:t>
      </w:r>
    </w:p>
    <w:p w14:paraId="43EF2D43">
      <w:pPr>
        <w:pStyle w:val="16"/>
      </w:pPr>
      <w:r>
        <w:t>追溯来源显示当前内容对应的源文档章节。</w:t>
      </w:r>
    </w:p>
    <w:p w14:paraId="7DAEFD0B">
      <w:pPr>
        <w:pStyle w:val="16"/>
      </w:pPr>
      <w:r>
        <w:t>顶部集中提供编辑、下载、变更分析和评审中心入口。</w:t>
      </w:r>
    </w:p>
    <w:p w14:paraId="7B2DC191">
      <w:pPr>
        <w:pStyle w:val="3"/>
      </w:pPr>
      <w:r>
        <w:t>5 编辑第三方测试需求</w:t>
      </w:r>
    </w:p>
    <w:p w14:paraId="0E2845DE">
      <w:pPr>
        <w:jc w:val="center"/>
      </w:pPr>
      <w:r>
        <w:drawing>
          <wp:inline distT="0" distB="0" distL="114300" distR="114300">
            <wp:extent cx="6325870" cy="2848610"/>
            <wp:effectExtent l="0" t="0" r="1143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F64C">
      <w:pPr>
        <w:jc w:val="center"/>
      </w:pPr>
      <w:r>
        <w:rPr>
          <w:i/>
          <w:sz w:val="18"/>
        </w:rPr>
        <w:t xml:space="preserve">图 </w:t>
      </w:r>
      <w:r>
        <w:rPr>
          <w:rFonts w:hint="eastAsia"/>
          <w:i/>
          <w:sz w:val="18"/>
          <w:lang w:val="en-US" w:eastAsia="zh-CN"/>
        </w:rPr>
        <w:t>7</w:t>
      </w:r>
      <w:r>
        <w:rPr>
          <w:i/>
          <w:sz w:val="18"/>
        </w:rPr>
        <w:t xml:space="preserve">  可编辑字段与保存入口</w:t>
      </w:r>
    </w:p>
    <w:p w14:paraId="42A28DE0">
      <w:pPr>
        <w:pStyle w:val="14"/>
        <w:numPr>
          <w:ilvl w:val="0"/>
          <w:numId w:val="10"/>
        </w:numPr>
      </w:pPr>
      <w:r>
        <w:t>单击“编辑文档”进入编辑模式。</w:t>
      </w:r>
    </w:p>
    <w:p w14:paraId="3AEBE01F">
      <w:pPr>
        <w:pStyle w:val="14"/>
        <w:numPr>
          <w:ilvl w:val="0"/>
          <w:numId w:val="10"/>
        </w:numPr>
      </w:pPr>
      <w:r>
        <w:t>单击蓝色字段修改文档。</w:t>
      </w:r>
    </w:p>
    <w:p w14:paraId="475F7472">
      <w:pPr>
        <w:pStyle w:val="14"/>
        <w:numPr>
          <w:ilvl w:val="0"/>
          <w:numId w:val="10"/>
        </w:numPr>
      </w:pPr>
      <w:r>
        <w:t>核对顶部修改数量后单击“保存并重建”。</w:t>
      </w:r>
    </w:p>
    <w:p w14:paraId="7372534C">
      <w:pPr>
        <w:pStyle w:val="14"/>
        <w:numPr>
          <w:ilvl w:val="0"/>
          <w:numId w:val="10"/>
        </w:numPr>
      </w:pPr>
      <w:r>
        <w:t>重建完成后再继续评审。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6D33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3FF"/>
          </w:tcPr>
          <w:p w14:paraId="74EA2B77">
            <w:r>
              <w:rPr>
                <w:b/>
                <w:color w:val="18599D"/>
              </w:rPr>
              <w:t>每次处理一组相关字段；需要撤销本轮修改时单击“放弃修改”。</w:t>
            </w:r>
          </w:p>
        </w:tc>
      </w:tr>
    </w:tbl>
    <w:p w14:paraId="5B7E1526">
      <w:pPr>
        <w:pStyle w:val="3"/>
      </w:pPr>
      <w:r>
        <w:t>6 评审</w:t>
      </w:r>
    </w:p>
    <w:p w14:paraId="153C03F5">
      <w:pPr>
        <w:jc w:val="center"/>
      </w:pPr>
      <w:r>
        <w:drawing>
          <wp:inline distT="0" distB="0" distL="114300" distR="114300">
            <wp:extent cx="6329680" cy="5006975"/>
            <wp:effectExtent l="0" t="0" r="7620" b="952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9680" cy="500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A6791">
      <w:pPr>
        <w:jc w:val="center"/>
      </w:pPr>
      <w:r>
        <w:rPr>
          <w:i/>
          <w:sz w:val="18"/>
        </w:rPr>
        <w:t xml:space="preserve">图 </w:t>
      </w:r>
      <w:r>
        <w:rPr>
          <w:rFonts w:hint="eastAsia"/>
          <w:i/>
          <w:sz w:val="18"/>
          <w:lang w:val="en-US" w:eastAsia="zh-CN"/>
        </w:rPr>
        <w:t>8</w:t>
      </w:r>
      <w:r>
        <w:rPr>
          <w:i/>
          <w:sz w:val="18"/>
        </w:rPr>
        <w:t xml:space="preserve">  评审中心</w:t>
      </w:r>
    </w:p>
    <w:p w14:paraId="21AC271E">
      <w:pPr>
        <w:pStyle w:val="14"/>
        <w:numPr>
          <w:ilvl w:val="0"/>
          <w:numId w:val="11"/>
        </w:numPr>
      </w:pPr>
      <w:r>
        <w:t>打开“评审中心”。</w:t>
      </w:r>
    </w:p>
    <w:p w14:paraId="6BAEFC53">
      <w:pPr>
        <w:pStyle w:val="14"/>
        <w:numPr>
          <w:ilvl w:val="0"/>
          <w:numId w:val="11"/>
        </w:numPr>
      </w:pPr>
      <w:r>
        <w:t>选择“待评”集中处理未完成章节。</w:t>
      </w:r>
    </w:p>
    <w:p w14:paraId="01246190">
      <w:pPr>
        <w:pStyle w:val="14"/>
        <w:numPr>
          <w:ilvl w:val="0"/>
          <w:numId w:val="11"/>
        </w:numPr>
      </w:pPr>
      <w:r>
        <w:t>对待评项单击“开始评估”，对已评项单击“查看/修改”。</w:t>
      </w:r>
    </w:p>
    <w:p w14:paraId="0926C657">
      <w:pPr>
        <w:pStyle w:val="14"/>
        <w:numPr>
          <w:ilvl w:val="0"/>
          <w:numId w:val="11"/>
        </w:numPr>
      </w:pPr>
      <w:r>
        <w:t>结合源文档、追溯来源和需求内容填写评分与意见。</w:t>
      </w:r>
    </w:p>
    <w:p w14:paraId="0F6A5A43">
      <w:pPr>
        <w:pStyle w:val="14"/>
        <w:numPr>
          <w:ilvl w:val="0"/>
          <w:numId w:val="11"/>
        </w:numPr>
      </w:pPr>
      <w:r>
        <w:t>待评数归零后再结束评审。</w:t>
      </w:r>
    </w:p>
    <w:p w14:paraId="5D186F57">
      <w:pPr>
        <w:pStyle w:val="4"/>
      </w:pPr>
      <w:r>
        <w:t>6.1 建议检查点</w:t>
      </w:r>
    </w:p>
    <w:p w14:paraId="5F3779C6">
      <w:pPr>
        <w:pStyle w:val="16"/>
      </w:pPr>
      <w:r>
        <w:t>正确性：内容与源文档一致。</w:t>
      </w:r>
    </w:p>
    <w:p w14:paraId="4553B21F">
      <w:pPr>
        <w:pStyle w:val="16"/>
      </w:pPr>
      <w:r>
        <w:t>完整性：前置条件、输入、处理、输出和异常充分。</w:t>
      </w:r>
    </w:p>
    <w:p w14:paraId="2356671A">
      <w:pPr>
        <w:pStyle w:val="16"/>
      </w:pPr>
      <w:r>
        <w:t>可测试性：可据此设计步骤与判定准则。</w:t>
      </w:r>
    </w:p>
    <w:p w14:paraId="5D4B76A9">
      <w:pPr>
        <w:pStyle w:val="16"/>
      </w:pPr>
      <w:r>
        <w:t>一致性：编号、术语、接口名和版本统一。</w:t>
      </w:r>
    </w:p>
    <w:p w14:paraId="23915F23">
      <w:pPr>
        <w:pStyle w:val="16"/>
      </w:pPr>
      <w:r>
        <w:t>可追溯性：来源准确且可回到原章节。</w:t>
      </w:r>
    </w:p>
    <w:p w14:paraId="450BA952">
      <w:pPr>
        <w:pStyle w:val="3"/>
      </w:pPr>
      <w:r>
        <w:t>7 下载第三方测试需求</w:t>
      </w:r>
    </w:p>
    <w:p w14:paraId="262CF6A7">
      <w:pPr>
        <w:pStyle w:val="14"/>
        <w:numPr>
          <w:ilvl w:val="0"/>
          <w:numId w:val="12"/>
        </w:numPr>
      </w:pPr>
      <w:r>
        <w:t>确认修改已保存且重建完成。</w:t>
      </w:r>
    </w:p>
    <w:p w14:paraId="5D60B37C">
      <w:pPr>
        <w:pStyle w:val="14"/>
        <w:numPr>
          <w:ilvl w:val="0"/>
          <w:numId w:val="12"/>
        </w:numPr>
      </w:pPr>
      <w:r>
        <w:t>确认全部章节已评。</w:t>
      </w:r>
    </w:p>
    <w:p w14:paraId="1444CC5A">
      <w:pPr>
        <w:pStyle w:val="14"/>
        <w:numPr>
          <w:ilvl w:val="0"/>
          <w:numId w:val="12"/>
        </w:numPr>
      </w:pPr>
      <w:r>
        <w:t>单击顶部“下载</w:t>
      </w:r>
      <w:r>
        <w:rPr>
          <w:rFonts w:hint="eastAsia"/>
          <w:lang w:val="en-US" w:eastAsia="zh-CN"/>
        </w:rPr>
        <w:t>需求文档</w:t>
      </w:r>
      <w:r>
        <w:t>”。</w:t>
      </w:r>
    </w:p>
    <w:p w14:paraId="6C8411FC">
      <w:pPr>
        <w:pStyle w:val="14"/>
        <w:numPr>
          <w:ilvl w:val="0"/>
          <w:numId w:val="12"/>
        </w:numPr>
      </w:pPr>
      <w:r>
        <w:t>打开下载文件，复核封面、目录、页码、表格、引用文档和版本号。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E557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3FF"/>
          </w:tcPr>
          <w:p w14:paraId="4E1F7C1C">
            <w:r>
              <w:rPr>
                <w:b/>
                <w:color w:val="18599D"/>
              </w:rPr>
              <w:t>正式交付前建议双人复核，并按项目规则重命名文件。</w:t>
            </w:r>
          </w:p>
        </w:tc>
      </w:tr>
    </w:tbl>
    <w:p w14:paraId="4C7F0DD0">
      <w:pPr>
        <w:pStyle w:val="3"/>
      </w:pPr>
      <w:r>
        <w:t>8 变更分析</w:t>
      </w:r>
    </w:p>
    <w:p w14:paraId="30260BB2">
      <w:pPr>
        <w:jc w:val="center"/>
      </w:pPr>
      <w:r>
        <w:drawing>
          <wp:inline distT="0" distB="0" distL="114300" distR="114300">
            <wp:extent cx="6325870" cy="3486150"/>
            <wp:effectExtent l="0" t="0" r="1143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8D080">
      <w:pPr>
        <w:jc w:val="center"/>
      </w:pPr>
      <w:r>
        <w:rPr>
          <w:i/>
          <w:sz w:val="18"/>
        </w:rPr>
        <w:t xml:space="preserve">图 </w:t>
      </w:r>
      <w:r>
        <w:rPr>
          <w:rFonts w:hint="eastAsia"/>
          <w:i/>
          <w:sz w:val="18"/>
          <w:lang w:val="en-US" w:eastAsia="zh-CN"/>
        </w:rPr>
        <w:t>9</w:t>
      </w:r>
      <w:r>
        <w:rPr>
          <w:i/>
          <w:sz w:val="18"/>
        </w:rPr>
        <w:t xml:space="preserve">  版本变更分析</w:t>
      </w:r>
    </w:p>
    <w:p w14:paraId="0F9339EA">
      <w:pPr>
        <w:pStyle w:val="14"/>
        <w:numPr>
          <w:ilvl w:val="0"/>
          <w:numId w:val="13"/>
        </w:numPr>
      </w:pPr>
      <w:r>
        <w:t>选择左侧基准版本和右侧对比版本，旧版在左、新版在右。</w:t>
      </w:r>
    </w:p>
    <w:p w14:paraId="1933B1AF">
      <w:pPr>
        <w:pStyle w:val="14"/>
        <w:numPr>
          <w:ilvl w:val="0"/>
          <w:numId w:val="13"/>
        </w:numPr>
      </w:pPr>
      <w:r>
        <w:t>用搜索、变更类型或“仅显示变化章节”筛选。</w:t>
      </w:r>
    </w:p>
    <w:p w14:paraId="3753A9E6">
      <w:pPr>
        <w:pStyle w:val="14"/>
        <w:numPr>
          <w:ilvl w:val="0"/>
          <w:numId w:val="13"/>
        </w:numPr>
      </w:pPr>
      <w:r>
        <w:t>查看新增、删除、修改、表格变化和追溯变化数量。</w:t>
      </w:r>
    </w:p>
    <w:p w14:paraId="5CC7FF2A">
      <w:pPr>
        <w:pStyle w:val="14"/>
        <w:numPr>
          <w:ilvl w:val="0"/>
          <w:numId w:val="13"/>
        </w:numPr>
      </w:pPr>
      <w:r>
        <w:t>用上一项和下一项逐条核查，必要时下载右侧版本。</w:t>
      </w:r>
    </w:p>
    <w:p w14:paraId="05074E63">
      <w:pPr>
        <w:pStyle w:val="16"/>
      </w:pPr>
      <w:r>
        <w:t>内容变化：同步检查测试范围、用例和预期结果。</w:t>
      </w:r>
    </w:p>
    <w:p w14:paraId="78818AE0">
      <w:pPr>
        <w:pStyle w:val="16"/>
      </w:pPr>
      <w:r>
        <w:t>表格变化：重点检查接口地址、参数单位和边界值。</w:t>
      </w:r>
    </w:p>
    <w:p w14:paraId="2BD25E26">
      <w:pPr>
        <w:pStyle w:val="16"/>
      </w:pPr>
      <w:r>
        <w:t>追溯变化：检查来源章节及无来源需求。</w:t>
      </w:r>
    </w:p>
    <w:p w14:paraId="04B987BB">
      <w:pPr>
        <w:pStyle w:val="16"/>
      </w:pPr>
      <w:r>
        <w:t>完成后记录受影响的需求、用例、环境与交付文档。</w:t>
      </w:r>
    </w:p>
    <w:p w14:paraId="2FB9F6E0">
      <w:pPr>
        <w:pStyle w:val="3"/>
      </w:pPr>
      <w:r>
        <w:t>9 常见问题</w:t>
      </w:r>
    </w:p>
    <w:p w14:paraId="22717EF2">
      <w:pPr>
        <w:pStyle w:val="4"/>
      </w:pPr>
      <w:r>
        <w:t>无法创建项目</w:t>
      </w:r>
    </w:p>
    <w:p w14:paraId="272B1056">
      <w:r>
        <w:t>检查名称、ZIP 内容和压缩包完整性。</w:t>
      </w:r>
    </w:p>
    <w:p w14:paraId="6C3571E1">
      <w:pPr>
        <w:pStyle w:val="4"/>
      </w:pPr>
      <w:r>
        <w:t>生成无进度</w:t>
      </w:r>
    </w:p>
    <w:p w14:paraId="08B1F5D9">
      <w:r>
        <w:t>查看实时日志，不要重复启动；记录最后日志联系管理员。</w:t>
      </w:r>
    </w:p>
    <w:p w14:paraId="5B7380C1">
      <w:pPr>
        <w:pStyle w:val="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运行报错</w:t>
      </w:r>
    </w:p>
    <w:p w14:paraId="415AEE72">
      <w:r>
        <w:rPr>
          <w:rFonts w:hint="eastAsia"/>
          <w:lang w:val="en-US" w:eastAsia="zh-CN"/>
        </w:rPr>
        <w:t>一般重新生成即可，</w:t>
      </w:r>
      <w:r>
        <w:t>记录最后日志联系管理员。</w:t>
      </w:r>
    </w:p>
    <w:sectPr>
      <w:pgSz w:w="12240" w:h="15840"/>
      <w:pgMar w:top="964" w:right="1134" w:bottom="90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102"/>
    <w:rsid w:val="007822A7"/>
    <w:rsid w:val="0078768E"/>
    <w:rsid w:val="00893649"/>
    <w:rsid w:val="00AA1D8D"/>
    <w:rsid w:val="00B47730"/>
    <w:rsid w:val="00CB0664"/>
    <w:rsid w:val="00FC693F"/>
    <w:rsid w:val="03960557"/>
    <w:rsid w:val="0902043D"/>
    <w:rsid w:val="092959CA"/>
    <w:rsid w:val="097B2056"/>
    <w:rsid w:val="0B3A3EBE"/>
    <w:rsid w:val="0BAB0918"/>
    <w:rsid w:val="0F276507"/>
    <w:rsid w:val="0F985657"/>
    <w:rsid w:val="0FBF4DBA"/>
    <w:rsid w:val="14F450DE"/>
    <w:rsid w:val="172A128B"/>
    <w:rsid w:val="186C7681"/>
    <w:rsid w:val="18A312F5"/>
    <w:rsid w:val="19466124"/>
    <w:rsid w:val="19BC6CC5"/>
    <w:rsid w:val="1A700CC5"/>
    <w:rsid w:val="1B071A1D"/>
    <w:rsid w:val="1B471F3D"/>
    <w:rsid w:val="1BE063BC"/>
    <w:rsid w:val="1CB17D58"/>
    <w:rsid w:val="1D3E783E"/>
    <w:rsid w:val="1D5F5A06"/>
    <w:rsid w:val="1E7E79B3"/>
    <w:rsid w:val="1EAD1FE0"/>
    <w:rsid w:val="21A41C3A"/>
    <w:rsid w:val="22B42350"/>
    <w:rsid w:val="233D3EEB"/>
    <w:rsid w:val="238735C1"/>
    <w:rsid w:val="251D5F8B"/>
    <w:rsid w:val="25205A7B"/>
    <w:rsid w:val="257C53A7"/>
    <w:rsid w:val="258E50DA"/>
    <w:rsid w:val="283E4B96"/>
    <w:rsid w:val="2B0D0850"/>
    <w:rsid w:val="2B312790"/>
    <w:rsid w:val="2BE21CDC"/>
    <w:rsid w:val="2BEE242F"/>
    <w:rsid w:val="2E692241"/>
    <w:rsid w:val="2EDB11EE"/>
    <w:rsid w:val="2F68074A"/>
    <w:rsid w:val="2F762E67"/>
    <w:rsid w:val="335313EB"/>
    <w:rsid w:val="35727C2D"/>
    <w:rsid w:val="35F44AE6"/>
    <w:rsid w:val="3A322081"/>
    <w:rsid w:val="3A4D0C68"/>
    <w:rsid w:val="3ABB3E24"/>
    <w:rsid w:val="3CF278A5"/>
    <w:rsid w:val="3DA037A5"/>
    <w:rsid w:val="3E2241BA"/>
    <w:rsid w:val="3EAD3FF2"/>
    <w:rsid w:val="3FDB5BDE"/>
    <w:rsid w:val="3FE94AB7"/>
    <w:rsid w:val="405D597D"/>
    <w:rsid w:val="418807D8"/>
    <w:rsid w:val="45F428E0"/>
    <w:rsid w:val="47EE641F"/>
    <w:rsid w:val="48853CC3"/>
    <w:rsid w:val="496F6F16"/>
    <w:rsid w:val="4A6C6EE9"/>
    <w:rsid w:val="4A7B537E"/>
    <w:rsid w:val="4B475260"/>
    <w:rsid w:val="4BBF20A9"/>
    <w:rsid w:val="4DBA7F6B"/>
    <w:rsid w:val="4DCB3509"/>
    <w:rsid w:val="4DE374C2"/>
    <w:rsid w:val="4F2558B8"/>
    <w:rsid w:val="4F8922EB"/>
    <w:rsid w:val="50010EFC"/>
    <w:rsid w:val="50137E07"/>
    <w:rsid w:val="515D4824"/>
    <w:rsid w:val="528D5C4E"/>
    <w:rsid w:val="532760A3"/>
    <w:rsid w:val="535F4CA9"/>
    <w:rsid w:val="54482775"/>
    <w:rsid w:val="552A7B27"/>
    <w:rsid w:val="57EC3417"/>
    <w:rsid w:val="583D3C73"/>
    <w:rsid w:val="58466FCB"/>
    <w:rsid w:val="598C4EB2"/>
    <w:rsid w:val="598F04FE"/>
    <w:rsid w:val="5A53777D"/>
    <w:rsid w:val="5B1E7D8B"/>
    <w:rsid w:val="5B2D6220"/>
    <w:rsid w:val="5CE60D7D"/>
    <w:rsid w:val="5D4930BA"/>
    <w:rsid w:val="5D997F3D"/>
    <w:rsid w:val="5E2D4789"/>
    <w:rsid w:val="60836580"/>
    <w:rsid w:val="6170330B"/>
    <w:rsid w:val="628A3F58"/>
    <w:rsid w:val="630759DF"/>
    <w:rsid w:val="63FC2C34"/>
    <w:rsid w:val="66BD78CB"/>
    <w:rsid w:val="675D3F22"/>
    <w:rsid w:val="67E1286C"/>
    <w:rsid w:val="6874548F"/>
    <w:rsid w:val="69140A20"/>
    <w:rsid w:val="695928D6"/>
    <w:rsid w:val="69D84B34"/>
    <w:rsid w:val="69DB04C6"/>
    <w:rsid w:val="6B657311"/>
    <w:rsid w:val="6BB34520"/>
    <w:rsid w:val="6BD91AAD"/>
    <w:rsid w:val="6C953C26"/>
    <w:rsid w:val="6D7B2E1B"/>
    <w:rsid w:val="6E142B25"/>
    <w:rsid w:val="6E453429"/>
    <w:rsid w:val="6E654DF6"/>
    <w:rsid w:val="6EDC3D8E"/>
    <w:rsid w:val="6F345978"/>
    <w:rsid w:val="71FD64F5"/>
    <w:rsid w:val="75502DDF"/>
    <w:rsid w:val="75BB0FC6"/>
    <w:rsid w:val="76452218"/>
    <w:rsid w:val="76D812DE"/>
    <w:rsid w:val="77A85155"/>
    <w:rsid w:val="79020895"/>
    <w:rsid w:val="794C1B10"/>
    <w:rsid w:val="79D57D57"/>
    <w:rsid w:val="7B7D4202"/>
    <w:rsid w:val="7BE83755"/>
    <w:rsid w:val="7C7C270C"/>
    <w:rsid w:val="7CDB38D7"/>
    <w:rsid w:val="7DBB7264"/>
    <w:rsid w:val="7E8A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1337</Words>
  <Characters>1725</Characters>
  <Lines>0</Lines>
  <Paragraphs>0</Paragraphs>
  <TotalTime>0</TotalTime>
  <ScaleCrop>false</ScaleCrop>
  <LinksUpToDate>false</LinksUpToDate>
  <CharactersWithSpaces>1924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王盛</cp:lastModifiedBy>
  <dcterms:modified xsi:type="dcterms:W3CDTF">2026-09-20T06:18:02Z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eyJoZGlkIjoiZmM1NmViZTMwZmMzYmFmODY2ODI5NmI3NzlkNDljMzMiLCJ1c2VySWQiOiIyOTM5MjExODgifQ==</vt:lpwstr>
  </property>
  <property fmtid="{D5CDD505-2E9C-101B-9397-08002B2CF9AE}" pid="3" name="KSOProductBuildVer">
    <vt:lpwstr>2052-12.1.0.28599</vt:lpwstr>
  </property>
  <property fmtid="{D5CDD505-2E9C-101B-9397-08002B2CF9AE}" pid="4" name="ICV">
    <vt:lpwstr>E16B6ECD6B304EBF9872CB09DE2C3524_12</vt:lpwstr>
  </property>
</Properties>
</file>