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57DB6">
      <w:pPr>
        <w:pStyle w:val="3"/>
        <w:keepNext/>
        <w:pageBreakBefore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问题反馈记录表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FC1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FEF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7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483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填写内容</w:t>
            </w:r>
          </w:p>
        </w:tc>
      </w:tr>
      <w:tr w14:paraId="3A07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70436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问题编号 / 测试编号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B191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出库单-新建出库单（无对应测试编号）</w:t>
            </w:r>
          </w:p>
        </w:tc>
      </w:tr>
      <w:tr w14:paraId="2F00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</w:tcPr>
          <w:p w14:paraId="210304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问题级别</w:t>
            </w:r>
          </w:p>
        </w:tc>
        <w:tc>
          <w:tcPr>
            <w:tcW w:w="7704" w:type="dxa"/>
          </w:tcPr>
          <w:p w14:paraId="391DB4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□ 一级 P1 严重　☑ 二级 P2 较重　□ 三级 P3 一般　□ 建议优化</w:t>
            </w:r>
          </w:p>
        </w:tc>
      </w:tr>
      <w:tr w14:paraId="070A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7F6DEF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反馈人 / 日期 / 账号角色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8C91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电缆头小卖部｜2026-10-28｜销售员</w:t>
            </w:r>
          </w:p>
        </w:tc>
      </w:tr>
      <w:tr w14:paraId="1B1F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44605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页面 / 文件名 / 行号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B3C8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出库单-新建出库单页面；“选择物料”弹窗</w:t>
            </w:r>
          </w:p>
        </w:tc>
      </w:tr>
      <w:tr w14:paraId="2CF8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1D8FB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复现步骤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5D4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进入“新建出库单”页面，填写出库日期、客户、仓库、合同号、开票状态、承运人、收货人、收货电话、收货地址等基础信息，并添加物料明细（如“示例:10KV三芯户内终端头”，数量1、单价1000）。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2. 点击“+添加物料”按钮，打开“选择物料”弹窗。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3. 不选择任何物料，直接点击弹窗右上角“×”或底部“关闭”按钮。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4. 页面直接跳回出库单列表页，此前填写的出库单信息全部丢失。</w:t>
            </w:r>
          </w:p>
        </w:tc>
      </w:tr>
      <w:tr w14:paraId="1681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1D67B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实际结果（含提示原文）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B328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关闭“选择物料”弹窗后，未返回新建出库单编辑页，而是直接回到出库单列表页（最初页面），已填写的出库日期、客户、仓库、合同号、开票状态、承运人、收货人、收货电话、收货地址及物料明细等信息全部丢失，系统无报错提示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截图提示原文：“无论点击这两个哪一个，只要不选择物料，直接回到最初页面”“之前填的信息就没有了。”</w:t>
            </w:r>
          </w:p>
        </w:tc>
      </w:tr>
      <w:tr w14:paraId="380B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4A8868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期望结果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5863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关闭“选择物料”弹窗后，应重新回到新建出库单编辑页面（图1界面），保留已填写的单据信息和物料明细，可继续编辑。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截图提示原文：“正常情况下，应该重新回到图1截面，继续填写”</w:t>
            </w:r>
          </w:p>
        </w:tc>
      </w:tr>
      <w:tr w14:paraId="5C53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2E113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发生频率 / 影响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098BD1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☑ 每次　□ 偶发　□ 仅一次　　□ 阻止测试　☑ 可继续测试</w:t>
            </w:r>
          </w:p>
        </w:tc>
      </w:tr>
      <w:tr w14:paraId="3C99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3C6F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附件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813A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☑ 页面截图　□ 脱敏测试文件　□ 无</w:t>
            </w:r>
          </w:p>
        </w:tc>
      </w:tr>
    </w:tbl>
    <w:p w14:paraId="52D4F57C">
      <w:pPr>
        <w:spacing w:after="0"/>
      </w:pPr>
    </w:p>
    <w:p w14:paraId="265660F3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5E8C"/>
          <w:sz w:val="22"/>
        </w:rPr>
        <w:t>反馈示例</w:t>
      </w:r>
    </w:p>
    <w:p w14:paraId="364E53D4">
      <w:pPr>
        <w:spacing w:before="0" w:after="80" w:line="269" w:lineRule="auto"/>
      </w:pPr>
      <w:r>
        <w:rPr>
          <w:rFonts w:ascii="微软雅黑" w:hAnsi="微软雅黑" w:eastAsia="微软雅黑"/>
          <w:color w:val="5B6573"/>
          <w:sz w:val="17"/>
        </w:rPr>
        <w:t>P2｜M-06｜物料批量导入｜采购账号｜2026-10-28 10:20。操作：下载模板，在第 3 行填写整进零出物料，零单位填“卷”，换算比例留空，点击“检查文件”。实际：系统允许确认并新增物料。期望：提示该行必须填写换算比例，且整份文件不写入。附件：截图及已脱敏测试文件。</w:t>
      </w:r>
    </w:p>
    <w:p w14:paraId="380322E6">
      <w:pPr>
        <w:spacing w:before="0" w:after="80" w:line="269" w:lineRule="auto"/>
        <w:rPr>
          <w:rFonts w:ascii="微软雅黑" w:hAnsi="微软雅黑" w:eastAsia="微软雅黑" w:cs="微软雅黑"/>
          <w:b/>
          <w:color w:val="9B3D20"/>
          <w:sz w:val="17"/>
        </w:rPr>
        <w:sectPr>
          <w:headerReference r:id="rId5" w:type="default"/>
          <w:footerReference r:id="rId6" w:type="default"/>
          <w:pgSz w:w="12240" w:h="15840"/>
          <w:pgMar w:top="893" w:right="979" w:bottom="893" w:left="979" w:header="432" w:footer="432" w:gutter="0"/>
          <w:cols w:space="720" w:num="1"/>
          <w:docGrid w:linePitch="360" w:charSpace="0"/>
        </w:sectPr>
      </w:pPr>
      <w:r>
        <w:rPr>
          <w:rFonts w:ascii="微软雅黑" w:hAnsi="微软雅黑" w:eastAsia="微软雅黑" w:cs="微软雅黑"/>
          <w:b/>
          <w:color w:val="9B3D20"/>
          <w:sz w:val="17"/>
        </w:rPr>
        <w:t>安全提醒：截图和测试文件中不要包含真实客户、供应商、电话号码、密码或其他敏感信息。</w:t>
      </w:r>
    </w:p>
    <w:p w14:paraId="57304072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  <w:r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  <w:drawing>
          <wp:inline distT="0" distB="0" distL="114300" distR="114300">
            <wp:extent cx="6467475" cy="4543425"/>
            <wp:effectExtent l="0" t="0" r="9525" b="9525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  <w:drawing>
          <wp:inline distT="0" distB="0" distL="114300" distR="114300">
            <wp:extent cx="6522085" cy="4772025"/>
            <wp:effectExtent l="0" t="0" r="12065" b="952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  <w:drawing>
          <wp:inline distT="0" distB="0" distL="114300" distR="114300">
            <wp:extent cx="6529070" cy="5502910"/>
            <wp:effectExtent l="0" t="0" r="5080" b="254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2D7E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35E0B489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2D40C3C9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3A0B4D84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30C9D065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12FEFEDD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5EF7D372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04801F03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02708D4C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11CC54A6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482B02C3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09ACCDA0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5898085D">
      <w:pPr>
        <w:spacing w:before="0" w:after="80" w:line="269" w:lineRule="auto"/>
        <w:rPr>
          <w:rFonts w:hint="eastAsia" w:ascii="微软雅黑" w:hAnsi="微软雅黑" w:eastAsia="微软雅黑" w:cs="微软雅黑"/>
          <w:b/>
          <w:color w:val="9B3D20"/>
          <w:sz w:val="17"/>
          <w:lang w:eastAsia="zh-CN"/>
        </w:rPr>
      </w:pPr>
    </w:p>
    <w:p w14:paraId="22946641">
      <w:pPr>
        <w:pStyle w:val="3"/>
        <w:keepNext/>
        <w:pageBreakBefore/>
        <w:spacing w:before="180" w:after="80"/>
      </w:pPr>
      <w:r>
        <w:rPr>
          <w:rFonts w:hint="eastAsia" w:ascii="微软雅黑" w:hAnsi="微软雅黑" w:eastAsia="微软雅黑" w:cs="微软雅黑"/>
          <w:b/>
          <w:color w:val="17365D"/>
          <w:sz w:val="28"/>
          <w:lang w:val="en-US" w:eastAsia="zh-CN"/>
        </w:rPr>
        <w:t>2.</w:t>
      </w:r>
      <w:r>
        <w:rPr>
          <w:rFonts w:ascii="微软雅黑" w:hAnsi="微软雅黑" w:eastAsia="微软雅黑" w:cs="微软雅黑"/>
          <w:b/>
          <w:color w:val="17365D"/>
          <w:sz w:val="28"/>
        </w:rPr>
        <w:t>问题反馈记录表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4164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8D9FC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7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A150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填写内容</w:t>
            </w:r>
          </w:p>
        </w:tc>
      </w:tr>
      <w:tr w14:paraId="6F3D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18D807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问题编号 / 测试编号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EF3B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物料管理-库存展示（无对应测试编号）</w:t>
            </w:r>
          </w:p>
        </w:tc>
      </w:tr>
      <w:tr w14:paraId="2219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</w:tcPr>
          <w:p w14:paraId="529E6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问题级别</w:t>
            </w:r>
          </w:p>
        </w:tc>
        <w:tc>
          <w:tcPr>
            <w:tcW w:w="7704" w:type="dxa"/>
          </w:tcPr>
          <w:p w14:paraId="044B6F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□ 一级 P1 严重　□ 二级 P2 较重　□ 三级 P3 一般　☑ 建议优化</w:t>
            </w:r>
          </w:p>
        </w:tc>
      </w:tr>
      <w:tr w14:paraId="275D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B1FE19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反馈人 / 日期 / 账号角色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59F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电缆头小卖部｜2026-10-28｜销售员</w:t>
            </w:r>
          </w:p>
        </w:tc>
      </w:tr>
      <w:tr w14:paraId="7E8D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9C7687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页面 / 文件名 / 行号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84F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基础资料-物料管理页面；库存-库存查询页面</w:t>
            </w:r>
          </w:p>
        </w:tc>
      </w:tr>
      <w:tr w14:paraId="1604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B28A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复现步骤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65D3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进入【基础资料】-【物料管理】页面，物料列表中展示“库存”列（如10kV冷缩加长管，库存0套）。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2. 进入【库存】-【库存查询】页面，同样可查看物料库存数据及物料种类、低于安全库存、零库存物料统计。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3. 两个页面均展示库存数据，功能重复。</w:t>
            </w:r>
          </w:p>
        </w:tc>
      </w:tr>
      <w:tr w14:paraId="4C77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E1A4E7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实际结果（含提示原文）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4D98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物料管理页面列表自带“库存”列，库存查询页面也可查看库存，两处均展示库存数据，功能冗余。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反馈原文：“物料管理同时可以看到库存的数据，是否重复”</w:t>
            </w:r>
          </w:p>
        </w:tc>
      </w:tr>
      <w:tr w14:paraId="3C15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BD909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期望结果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A7C9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区分两个页面定位：物料管理页面只维护物料基础档案（名称、型号、规格、单位等），不展示库存；库存数据统一在“库存查询”页面查看，避免功能重复。</w:t>
            </w:r>
          </w:p>
        </w:tc>
      </w:tr>
      <w:tr w14:paraId="7289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FAC00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发生频率 / 影响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4E607D">
            <w:pPr>
              <w:spacing w:after="0" w:line="259" w:lineRule="auto"/>
            </w:pPr>
            <w:r>
              <w:rPr>
                <w:rFonts w:ascii="微软雅黑" w:hAnsi="微软雅黑" w:eastAsia="微软雅黑"/>
              </w:rPr>
              <w:t>☑ 每次　□ 偶发　□ 仅一次　　□ 阻止测试　☑ 可继续测试</w:t>
            </w:r>
          </w:p>
        </w:tc>
      </w:tr>
      <w:tr w14:paraId="686C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EE8D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附件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DE532D">
            <w:pPr>
              <w:spacing w:after="0" w:line="259" w:lineRule="auto"/>
            </w:pPr>
            <w:r>
              <w:rPr>
                <w:rFonts w:ascii="微软雅黑" w:hAnsi="微软雅黑" w:eastAsia="微软雅黑"/>
              </w:rPr>
              <w:t>☑ 页面截图　□ 脱敏测试文件　□ 无</w:t>
            </w:r>
          </w:p>
        </w:tc>
      </w:tr>
    </w:tbl>
    <w:p w14:paraId="074537DA">
      <w:pPr>
        <w:spacing w:after="0"/>
      </w:pPr>
    </w:p>
    <w:p w14:paraId="256A5EED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5E8C"/>
          <w:sz w:val="22"/>
        </w:rPr>
        <w:t>反馈示例</w:t>
      </w:r>
    </w:p>
    <w:p w14:paraId="0A914CFD">
      <w:pPr>
        <w:spacing w:before="0" w:after="80" w:line="269" w:lineRule="auto"/>
      </w:pPr>
      <w:r>
        <w:rPr>
          <w:rFonts w:ascii="微软雅黑" w:hAnsi="微软雅黑" w:eastAsia="微软雅黑"/>
          <w:color w:val="5B6573"/>
          <w:sz w:val="17"/>
        </w:rPr>
        <w:t>P2｜M-06｜物料批量导入｜采购账号｜2026-10-28 10:20。操作：下载模板，在第 3 行填写整进零出物料，零单位填“卷”，换算比例留空，点击“检查文件”。实际：系统允许确认并新增物料。期望：提示该行必须填写换算比例，且整份文件不写入。附件：截图及已脱敏测试文件。</w:t>
      </w:r>
    </w:p>
    <w:p w14:paraId="2CEA2EA9">
      <w:pPr>
        <w:spacing w:before="0" w:after="80" w:line="269" w:lineRule="auto"/>
      </w:pPr>
      <w:r>
        <w:rPr>
          <w:rFonts w:ascii="微软雅黑" w:hAnsi="微软雅黑" w:eastAsia="微软雅黑" w:cs="微软雅黑"/>
          <w:b/>
          <w:color w:val="9B3D20"/>
          <w:sz w:val="17"/>
        </w:rPr>
        <w:t>安全提醒：截图和测试文件中不要包含真实客户、供应商、电话号码、密码或其他敏感信息。</w:t>
      </w:r>
    </w:p>
    <w:p w14:paraId="180EBC80">
      <w:pPr>
        <w:spacing w:before="0" w:after="80" w:line="269" w:lineRule="auto"/>
        <w:rPr>
          <w:rFonts w:hint="default" w:ascii="微软雅黑" w:hAnsi="微软雅黑" w:eastAsia="微软雅黑" w:cs="微软雅黑"/>
          <w:b/>
          <w:color w:val="9B3D20"/>
          <w:sz w:val="17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9B3D20"/>
          <w:sz w:val="17"/>
          <w:lang w:val="en-US" w:eastAsia="zh-CN"/>
        </w:rPr>
        <w:drawing>
          <wp:inline distT="0" distB="0" distL="114300" distR="114300">
            <wp:extent cx="6528435" cy="5187950"/>
            <wp:effectExtent l="0" t="0" r="5715" b="12700"/>
            <wp:docPr id="1" name="图片 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b/>
          <w:color w:val="9B3D20"/>
          <w:sz w:val="17"/>
          <w:lang w:val="en-US" w:eastAsia="zh-CN"/>
        </w:rPr>
        <w:drawing>
          <wp:inline distT="0" distB="0" distL="114300" distR="114300">
            <wp:extent cx="6529070" cy="3956685"/>
            <wp:effectExtent l="0" t="0" r="5080" b="5715"/>
            <wp:docPr id="5" name="图片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893" w:right="979" w:bottom="893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思源黑體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思源黑體 Normal">
    <w:panose1 w:val="020B0400000000000000"/>
    <w:charset w:val="88"/>
    <w:family w:val="auto"/>
    <w:pitch w:val="default"/>
    <w:sig w:usb0="30000083" w:usb1="2BDF3C10" w:usb2="00000016" w:usb3="00000000" w:csb0="603A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EAFF4">
    <w:pPr>
      <w:pStyle w:val="24"/>
      <w:jc w:val="center"/>
    </w:pPr>
    <w:r>
      <w:rPr>
        <w:rFonts w:ascii="微软雅黑" w:hAnsi="微软雅黑" w:eastAsia="微软雅黑" w:cs="微软雅黑"/>
        <w:b w:val="0"/>
        <w:color w:val="5B6573"/>
        <w:sz w:val="16"/>
      </w:rPr>
      <w:t xml:space="preserve">员工测试资料  ·  请勿填写真实客户或供应商敏感信息  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 w:cs="微软雅黑"/>
        <w:b w:val="0"/>
        <w:color w:val="5B657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BB72">
    <w:pPr>
      <w:pStyle w:val="25"/>
      <w:jc w:val="right"/>
    </w:pPr>
    <w:r>
      <w:rPr>
        <w:rFonts w:ascii="微软雅黑" w:hAnsi="微软雅黑" w:eastAsia="微软雅黑" w:cs="微软雅黑"/>
        <w:b w:val="0"/>
        <w:color w:val="5B6573"/>
        <w:sz w:val="16"/>
      </w:rPr>
      <w:t>河南万楼商贸有限公司  |  系统测试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B1259"/>
    <w:rsid w:val="4FD3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2222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5E8C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757</Words>
  <Characters>797</Characters>
  <Lines>0</Lines>
  <Paragraphs>0</Paragraphs>
  <TotalTime>0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河南万楼商贸有限公司</dc:creator>
  <dc:description>generated by python-docx</dc:description>
  <cp:lastModifiedBy>3M·ABB原梦瑶19043802113</cp:lastModifiedBy>
  <dcterms:modified xsi:type="dcterms:W3CDTF">2026-10-28T07:59:01Z</dcterms:modified>
  <dc:subject>员工测试说明及问题反馈表</dc:subject>
  <dc:title>供应商与物料批量导入导出测试指南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eyJoZGlkIjoiYmUxZjYwNTY3YzQ3NWRmODI1OTY1MmNlYjE4NGU0NjgiLCJ1c2VySWQiOiIxODg3NTE1ODMzIn0=</vt:lpwstr>
  </property>
  <property fmtid="{D5CDD505-2E9C-101B-9397-08002B2CF9AE}" pid="3" name="KSOProductBuildVer">
    <vt:lpwstr>2052-12.1.0.29161</vt:lpwstr>
  </property>
  <property fmtid="{D5CDD505-2E9C-101B-9397-08002B2CF9AE}" pid="4" name="ICV">
    <vt:lpwstr>6203220A100D4C118F659008DCDB2025_12</vt:lpwstr>
  </property>
</Properties>
</file>