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307" w:rsidRDefault="003D1307" w:rsidP="003D1307">
      <w:pPr>
        <w:pStyle w:val="Heading1"/>
      </w:pPr>
      <w:bookmarkStart w:id="0" w:name="_Toc161565656"/>
      <w:r>
        <w:t>BIRTH CONTROL</w:t>
      </w:r>
      <w:bookmarkEnd w:id="0"/>
    </w:p>
    <w:p w:rsidR="003D1307" w:rsidRDefault="003D1307" w:rsidP="003D1307">
      <w:pPr>
        <w:keepNext/>
        <w:keepLines/>
        <w:widowControl w:val="0"/>
      </w:pPr>
    </w:p>
    <w:p w:rsidR="003D1307" w:rsidRDefault="003D1307" w:rsidP="003D1307">
      <w:pPr>
        <w:keepNext/>
        <w:keepLines/>
        <w:widowControl w:val="0"/>
      </w:pPr>
    </w:p>
    <w:p w:rsidR="003D1307" w:rsidRDefault="003D1307" w:rsidP="003D1307">
      <w:pPr>
        <w:pStyle w:val="Heading2"/>
      </w:pPr>
      <w:r>
        <w:t>Who may receive birth control?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  <w:t>Under Washington law, every individual has the fundamental right to choose or refuse birth control.</w:t>
      </w:r>
      <w:r w:rsidR="004C434D">
        <w:rPr>
          <w:rStyle w:val="FootnoteReference"/>
        </w:rPr>
        <w:footnoteReference w:id="1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t>May contraceptives be prescribed for minors?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  <w:t>Yes.  Contraceptives may be prescribed for minors.</w:t>
      </w:r>
      <w:r w:rsidR="006B6E45">
        <w:rPr>
          <w:rStyle w:val="FootnoteReference"/>
        </w:rPr>
        <w:footnoteReference w:id="2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t>Is parental notification or parental consent required before contraceptives may be prescribed for minors?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</w:r>
      <w:proofErr w:type="gramStart"/>
      <w:r>
        <w:t>Generally, no.</w:t>
      </w:r>
      <w:proofErr w:type="gramEnd"/>
      <w:r>
        <w:t xml:space="preserve">  Washington law does not specifically impose a requirement of parental notification or parental consent before contraceptives may be prescribed for an otherwise competent minor.</w:t>
      </w:r>
      <w:r w:rsidR="00647BBA">
        <w:rPr>
          <w:rStyle w:val="FootnoteReference"/>
        </w:rPr>
        <w:footnoteReference w:id="3"/>
      </w:r>
      <w:r>
        <w:t xml:space="preserve">  Before prescribing contraceptives for a minor without parental notification or consent, however, care should be taken to assure that the minor is competent to provide informed consent.  Among the factors to be considered in determining a minor’s competence are the minor’s age, intelligence, maturity, training, experience, economic independence or lack thereof, general conduct as an adult, and freedom from parental control.</w:t>
      </w:r>
      <w:r w:rsidR="007440A1">
        <w:rPr>
          <w:rStyle w:val="FootnoteReference"/>
        </w:rPr>
        <w:footnoteReference w:id="4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t>Is parental notification or parental consent required for a sterilization procedure on a minor?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3D1307" w:rsidRDefault="003D1307" w:rsidP="003D1307">
      <w:pPr>
        <w:tabs>
          <w:tab w:val="left" w:pos="-720"/>
        </w:tabs>
        <w:suppressAutoHyphens/>
      </w:pPr>
      <w:r>
        <w:tab/>
        <w:t>Generally, yes.  As a general rule, parental consent is required for the performance of sterilization procedures on minors.  If, however, the minor is emancipated (</w:t>
      </w:r>
      <w:r>
        <w:rPr>
          <w:u w:val="single"/>
        </w:rPr>
        <w:t>i.e.</w:t>
      </w:r>
      <w:r>
        <w:t>, married or independent of parental control and financial support) and sufficiently intelligent, educated and knowledgeable to provide informed consent to a sterilization procedure, parental consent may not be necessary.</w:t>
      </w:r>
      <w:r w:rsidR="00CC417B">
        <w:rPr>
          <w:rStyle w:val="FootnoteReference"/>
        </w:rPr>
        <w:footnoteReference w:id="5"/>
      </w:r>
    </w:p>
    <w:p w:rsidR="003D1307" w:rsidRDefault="003D1307" w:rsidP="003D1307">
      <w:pPr>
        <w:tabs>
          <w:tab w:val="left" w:pos="-720"/>
        </w:tabs>
        <w:suppressAutoHyphens/>
      </w:pPr>
    </w:p>
    <w:p w:rsidR="003D1307" w:rsidRDefault="003D1307" w:rsidP="003D1307">
      <w:pPr>
        <w:pStyle w:val="Heading2"/>
      </w:pPr>
      <w:r>
        <w:lastRenderedPageBreak/>
        <w:t>May a sterilization procedure be performed on a minor or incompetent against the minor or incompetent’s will?</w:t>
      </w:r>
    </w:p>
    <w:p w:rsidR="003D1307" w:rsidRDefault="003D1307" w:rsidP="003D1307">
      <w:pPr>
        <w:keepNext/>
        <w:keepLines/>
        <w:widowControl w:val="0"/>
        <w:tabs>
          <w:tab w:val="left" w:pos="-720"/>
        </w:tabs>
        <w:suppressAutoHyphens/>
      </w:pPr>
    </w:p>
    <w:p w:rsidR="0027596A" w:rsidRDefault="003D1307" w:rsidP="003159B6">
      <w:pPr>
        <w:jc w:val="left"/>
        <w:sectPr w:rsidR="0027596A" w:rsidSect="000C5F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proofErr w:type="gramStart"/>
      <w:r>
        <w:t>Generally, no.</w:t>
      </w:r>
      <w:proofErr w:type="gramEnd"/>
      <w:r>
        <w:t xml:space="preserve">  A sterilization procedure cannot be performed on a minor or incompetent against the minor or </w:t>
      </w:r>
      <w:proofErr w:type="gramStart"/>
      <w:r>
        <w:t>incompetent’s</w:t>
      </w:r>
      <w:proofErr w:type="gramEnd"/>
      <w:r>
        <w:t xml:space="preserve"> will absent a court order.</w:t>
      </w:r>
      <w:r w:rsidR="006C094B">
        <w:rPr>
          <w:rStyle w:val="FootnoteReference"/>
        </w:rPr>
        <w:footnoteReference w:id="6"/>
      </w:r>
    </w:p>
    <w:p w:rsidR="00037230" w:rsidRDefault="00037230" w:rsidP="003159B6">
      <w:bookmarkStart w:id="1" w:name="_GoBack"/>
      <w:bookmarkEnd w:id="1"/>
    </w:p>
    <w:sectPr w:rsidR="00037230" w:rsidSect="000C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BD7" w:rsidRDefault="00557BD7" w:rsidP="004C434D">
      <w:r>
        <w:separator/>
      </w:r>
    </w:p>
  </w:endnote>
  <w:endnote w:type="continuationSeparator" w:id="0">
    <w:p w:rsidR="00557BD7" w:rsidRDefault="00557BD7" w:rsidP="004C4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BD7" w:rsidRDefault="00557BD7" w:rsidP="004C434D">
      <w:r>
        <w:separator/>
      </w:r>
    </w:p>
  </w:footnote>
  <w:footnote w:type="continuationSeparator" w:id="0">
    <w:p w:rsidR="00557BD7" w:rsidRDefault="00557BD7" w:rsidP="004C434D">
      <w:r>
        <w:continuationSeparator/>
      </w:r>
    </w:p>
  </w:footnote>
  <w:footnote w:id="1">
    <w:p w:rsidR="004C434D" w:rsidRDefault="004C43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9.02.100(1).</w:t>
      </w:r>
      <w:proofErr w:type="gramEnd"/>
    </w:p>
  </w:footnote>
  <w:footnote w:id="2">
    <w:p w:rsidR="006B6E45" w:rsidRDefault="006B6E45">
      <w:pPr>
        <w:pStyle w:val="FootnoteText"/>
      </w:pPr>
      <w:r>
        <w:rPr>
          <w:rStyle w:val="FootnoteReference"/>
        </w:rPr>
        <w:footnoteRef/>
      </w:r>
      <w:r>
        <w:t xml:space="preserve"> See RCW 9.02.100(1); State v. </w:t>
      </w:r>
      <w:proofErr w:type="spellStart"/>
      <w:r>
        <w:t>Koome</w:t>
      </w:r>
      <w:proofErr w:type="spellEnd"/>
      <w:r>
        <w:t>, 84 Wn.2d 901, 904 (1975) (</w:t>
      </w:r>
      <w:r w:rsidR="00644C35">
        <w:t>“[T]</w:t>
      </w:r>
      <w:r w:rsidR="00A1004C">
        <w:t>he constitutional rights of minors, including the right of privacy, are coextensive with those of adults.”).</w:t>
      </w:r>
    </w:p>
  </w:footnote>
  <w:footnote w:id="3">
    <w:p w:rsidR="00647BBA" w:rsidRDefault="00647B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B6E45">
        <w:t xml:space="preserve">See </w:t>
      </w:r>
      <w:proofErr w:type="spellStart"/>
      <w:r w:rsidR="006B6E45">
        <w:rPr>
          <w:i/>
        </w:rPr>
        <w:t>Koome</w:t>
      </w:r>
      <w:proofErr w:type="spellEnd"/>
      <w:r w:rsidR="006B6E45">
        <w:t>, 84 Wn.2d at 914</w:t>
      </w:r>
      <w:r>
        <w:t xml:space="preserve"> (</w:t>
      </w:r>
      <w:r w:rsidR="003A7470">
        <w:t>ruling unconstitutional</w:t>
      </w:r>
      <w:r w:rsidR="007E51E7">
        <w:t xml:space="preserve"> </w:t>
      </w:r>
      <w:r w:rsidR="008F31BF">
        <w:t>a Washington statute that required a pregnant minor to obtain her parents’ consent to have an abortion).</w:t>
      </w:r>
    </w:p>
  </w:footnote>
  <w:footnote w:id="4">
    <w:p w:rsidR="007440A1" w:rsidRDefault="007440A1">
      <w:pPr>
        <w:pStyle w:val="FootnoteText"/>
      </w:pPr>
      <w:r>
        <w:rPr>
          <w:rStyle w:val="FootnoteReference"/>
        </w:rPr>
        <w:footnoteRef/>
      </w:r>
      <w:r>
        <w:t xml:space="preserve"> See Smith v. </w:t>
      </w:r>
      <w:proofErr w:type="spellStart"/>
      <w:r>
        <w:t>Seibly</w:t>
      </w:r>
      <w:proofErr w:type="spellEnd"/>
      <w:r>
        <w:t>, 72 Wn.2d 16, 21 (1967) (listing these factors in</w:t>
      </w:r>
      <w:r w:rsidR="00CE27BD">
        <w:t xml:space="preserve"> light of whether an 18 year old married minor “who earns his own living and maintains his own home”</w:t>
      </w:r>
      <w:r w:rsidR="00096C3B">
        <w:t xml:space="preserve"> is competent to consent, if fully informed, to surgery—in this case, a vasectomy).</w:t>
      </w:r>
      <w:r w:rsidR="00CE27BD">
        <w:t xml:space="preserve"> </w:t>
      </w:r>
    </w:p>
  </w:footnote>
  <w:footnote w:id="5">
    <w:p w:rsidR="00CC417B" w:rsidRPr="00CC417B" w:rsidRDefault="00CC41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4100">
        <w:t xml:space="preserve">See </w:t>
      </w:r>
      <w:r>
        <w:rPr>
          <w:i/>
        </w:rPr>
        <w:t>Smith</w:t>
      </w:r>
      <w:r>
        <w:t xml:space="preserve">, 72 Wn.2d at </w:t>
      </w:r>
      <w:r w:rsidR="00DB4100">
        <w:t xml:space="preserve">9, </w:t>
      </w:r>
      <w:r>
        <w:t>21–22</w:t>
      </w:r>
      <w:r w:rsidR="00DB4100">
        <w:t xml:space="preserve"> (emancipated minor’s competence to consent to a vasectomy was a question of fact</w:t>
      </w:r>
      <w:r w:rsidR="00D27995">
        <w:t xml:space="preserve"> not contingent on parental consent).</w:t>
      </w:r>
    </w:p>
  </w:footnote>
  <w:footnote w:id="6">
    <w:p w:rsidR="006C094B" w:rsidRPr="006C094B" w:rsidRDefault="006C0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i/>
        </w:rPr>
        <w:t>In re</w:t>
      </w:r>
      <w:r>
        <w:t xml:space="preserve"> Guardianship of Hayes, 93 Wn.2d 228, </w:t>
      </w:r>
      <w:r w:rsidR="00E42A71">
        <w:t xml:space="preserve">232–33, </w:t>
      </w:r>
      <w:r w:rsidR="00604FFB">
        <w:t>238</w:t>
      </w:r>
      <w:r>
        <w:t xml:space="preserve"> (1980).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307"/>
    <w:rsid w:val="00021ECD"/>
    <w:rsid w:val="00037230"/>
    <w:rsid w:val="00086848"/>
    <w:rsid w:val="00096C3B"/>
    <w:rsid w:val="000C5F48"/>
    <w:rsid w:val="0011427F"/>
    <w:rsid w:val="0018231A"/>
    <w:rsid w:val="001D569E"/>
    <w:rsid w:val="0027596A"/>
    <w:rsid w:val="0028470C"/>
    <w:rsid w:val="003159B6"/>
    <w:rsid w:val="003A7470"/>
    <w:rsid w:val="003D1307"/>
    <w:rsid w:val="00450580"/>
    <w:rsid w:val="004C434D"/>
    <w:rsid w:val="00557BD7"/>
    <w:rsid w:val="00586160"/>
    <w:rsid w:val="005F2BE7"/>
    <w:rsid w:val="00604FFB"/>
    <w:rsid w:val="0062090E"/>
    <w:rsid w:val="00644C35"/>
    <w:rsid w:val="00647BBA"/>
    <w:rsid w:val="00652B45"/>
    <w:rsid w:val="00663449"/>
    <w:rsid w:val="006B6E45"/>
    <w:rsid w:val="006C094B"/>
    <w:rsid w:val="006D3243"/>
    <w:rsid w:val="00705647"/>
    <w:rsid w:val="00710B76"/>
    <w:rsid w:val="007440A1"/>
    <w:rsid w:val="0077787B"/>
    <w:rsid w:val="007E51E7"/>
    <w:rsid w:val="007E75BA"/>
    <w:rsid w:val="00862268"/>
    <w:rsid w:val="008F31BF"/>
    <w:rsid w:val="009711A6"/>
    <w:rsid w:val="009F452D"/>
    <w:rsid w:val="00A1004C"/>
    <w:rsid w:val="00A36665"/>
    <w:rsid w:val="00AA30EB"/>
    <w:rsid w:val="00AD6BAE"/>
    <w:rsid w:val="00C2728C"/>
    <w:rsid w:val="00C340CF"/>
    <w:rsid w:val="00CC417B"/>
    <w:rsid w:val="00CE27BD"/>
    <w:rsid w:val="00D27995"/>
    <w:rsid w:val="00D87929"/>
    <w:rsid w:val="00DB4100"/>
    <w:rsid w:val="00DE757A"/>
    <w:rsid w:val="00E42A71"/>
    <w:rsid w:val="00E44909"/>
    <w:rsid w:val="00E662D3"/>
    <w:rsid w:val="00F07865"/>
    <w:rsid w:val="00F178B3"/>
    <w:rsid w:val="00F35D71"/>
    <w:rsid w:val="00F8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07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D1307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D1307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307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D1307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34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34D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434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A3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0E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0EB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EB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EB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07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D1307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D1307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1307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D1307"/>
    <w:rPr>
      <w:rFonts w:eastAsia="Times New Roman" w:cs="Times New Roman"/>
      <w:b/>
      <w:snapToGrid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34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34D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434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A30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0E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0EB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EB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E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F031F-A1E3-4B74-B2FE-7EEE80F4A3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284A9A-5FBD-414D-B029-8DE35D591113}"/>
</file>

<file path=customXml/itemProps3.xml><?xml version="1.0" encoding="utf-8"?>
<ds:datastoreItem xmlns:ds="http://schemas.openxmlformats.org/officeDocument/2006/customXml" ds:itemID="{0C8F3ED0-E304-492D-986F-2F253EB415C2}"/>
</file>

<file path=customXml/itemProps4.xml><?xml version="1.0" encoding="utf-8"?>
<ds:datastoreItem xmlns:ds="http://schemas.openxmlformats.org/officeDocument/2006/customXml" ds:itemID="{39054419-8CD9-494C-B001-286FA9A5A0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dpm</cp:lastModifiedBy>
  <cp:revision>2</cp:revision>
  <dcterms:created xsi:type="dcterms:W3CDTF">2012-11-20T00:35:00Z</dcterms:created>
  <dcterms:modified xsi:type="dcterms:W3CDTF">2012-11-20T00:35:00Z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