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0CD" w:rsidRDefault="008900CD" w:rsidP="008900CD">
      <w:pPr>
        <w:pStyle w:val="Heading1"/>
      </w:pPr>
      <w:bookmarkStart w:id="0" w:name="_Toc161565688"/>
      <w:r>
        <w:t>LIENS FOR SERVICES RELATED TO TRAUMATIC INJURY</w:t>
      </w:r>
      <w:bookmarkEnd w:id="0"/>
    </w:p>
    <w:p w:rsidR="008900CD" w:rsidRDefault="008900CD" w:rsidP="008900CD">
      <w:pPr>
        <w:keepNext/>
        <w:keepLines/>
        <w:widowControl w:val="0"/>
      </w:pPr>
    </w:p>
    <w:p w:rsidR="008900CD" w:rsidRDefault="008900CD" w:rsidP="008900CD">
      <w:pPr>
        <w:keepNext/>
        <w:keepLines/>
        <w:widowControl w:val="0"/>
      </w:pPr>
    </w:p>
    <w:p w:rsidR="008900CD" w:rsidRDefault="008900CD" w:rsidP="008900CD">
      <w:pPr>
        <w:pStyle w:val="Heading2"/>
      </w:pPr>
      <w:r>
        <w:t>Does a physician have a lien for services to persons with traumatic injury?</w:t>
      </w:r>
    </w:p>
    <w:p w:rsidR="008900CD" w:rsidRDefault="008900CD" w:rsidP="008900CD">
      <w:pPr>
        <w:keepNext/>
        <w:keepLines/>
        <w:widowControl w:val="0"/>
        <w:tabs>
          <w:tab w:val="left" w:pos="-1440"/>
          <w:tab w:val="left" w:pos="-720"/>
        </w:tabs>
        <w:suppressAutoHyphens/>
      </w:pPr>
    </w:p>
    <w:p w:rsidR="008900CD" w:rsidRDefault="008900CD" w:rsidP="008900CD">
      <w:pPr>
        <w:tabs>
          <w:tab w:val="left" w:pos="-1440"/>
          <w:tab w:val="left" w:pos="-720"/>
        </w:tabs>
        <w:suppressAutoHyphens/>
      </w:pPr>
      <w:r>
        <w:tab/>
        <w:t>Yes.  Any physician who renders services to a patient due to a traumatic injury may place a lien upon any claim, right of action, and/or money (except a claim, right of action or money accruing under Washington’s Workers’ Compensation Act) which the patient is entitled to receive from a person or the insurer of a person who tortiously caused the traumatic injury.</w:t>
      </w:r>
      <w:r w:rsidR="00802848">
        <w:rPr>
          <w:rStyle w:val="FootnoteReference"/>
        </w:rPr>
        <w:footnoteReference w:id="1"/>
      </w:r>
    </w:p>
    <w:p w:rsidR="008900CD" w:rsidRDefault="008900CD" w:rsidP="008900CD">
      <w:pPr>
        <w:tabs>
          <w:tab w:val="left" w:pos="-1440"/>
          <w:tab w:val="left" w:pos="-720"/>
        </w:tabs>
        <w:suppressAutoHyphens/>
      </w:pPr>
    </w:p>
    <w:p w:rsidR="008900CD" w:rsidRDefault="008900CD" w:rsidP="008900CD">
      <w:pPr>
        <w:pStyle w:val="Heading2"/>
      </w:pPr>
      <w:r>
        <w:t>What is the value of the lien?</w:t>
      </w:r>
    </w:p>
    <w:p w:rsidR="008900CD" w:rsidRDefault="008900CD" w:rsidP="008900CD">
      <w:pPr>
        <w:keepNext/>
        <w:keepLines/>
        <w:widowControl w:val="0"/>
        <w:tabs>
          <w:tab w:val="left" w:pos="-1440"/>
          <w:tab w:val="left" w:pos="-720"/>
        </w:tabs>
        <w:suppressAutoHyphens/>
      </w:pPr>
    </w:p>
    <w:p w:rsidR="008900CD" w:rsidRDefault="008900CD" w:rsidP="008900CD">
      <w:pPr>
        <w:tabs>
          <w:tab w:val="left" w:pos="-1440"/>
          <w:tab w:val="left" w:pos="-720"/>
        </w:tabs>
        <w:suppressAutoHyphens/>
      </w:pPr>
      <w:r>
        <w:tab/>
        <w:t>The lien is for the value of the services provided, together with those costs and reasonable attorney’s fees incurred in enforcing the lien which the court may allow.</w:t>
      </w:r>
      <w:r w:rsidR="00802848">
        <w:rPr>
          <w:rStyle w:val="FootnoteReference"/>
        </w:rPr>
        <w:footnoteReference w:id="2"/>
      </w:r>
    </w:p>
    <w:p w:rsidR="008900CD" w:rsidRDefault="008900CD" w:rsidP="008900CD">
      <w:pPr>
        <w:tabs>
          <w:tab w:val="left" w:pos="-1440"/>
          <w:tab w:val="left" w:pos="-720"/>
        </w:tabs>
        <w:suppressAutoHyphens/>
      </w:pPr>
    </w:p>
    <w:p w:rsidR="008900CD" w:rsidRDefault="008900CD" w:rsidP="008900CD">
      <w:pPr>
        <w:tabs>
          <w:tab w:val="left" w:pos="-1440"/>
          <w:tab w:val="left" w:pos="-720"/>
        </w:tabs>
        <w:suppressAutoHyphens/>
      </w:pPr>
      <w:r>
        <w:tab/>
        <w:t xml:space="preserve">The lien, however, shall not exceed 25% of the amount of any award, </w:t>
      </w:r>
      <w:r w:rsidR="00802848">
        <w:t xml:space="preserve">verdict, report, decision, </w:t>
      </w:r>
      <w:r>
        <w:t>judgment, or settlement the patient receives from the person or insurer of the person who tortiously caused the traumatic injury.</w:t>
      </w:r>
      <w:r w:rsidR="00802848">
        <w:rPr>
          <w:rStyle w:val="FootnoteReference"/>
        </w:rPr>
        <w:footnoteReference w:id="3"/>
      </w:r>
      <w:r>
        <w:t xml:space="preserve">  The lien does not apply to any claim, right of action, or money recovered under the workers’ compensation law.</w:t>
      </w:r>
    </w:p>
    <w:p w:rsidR="008900CD" w:rsidRDefault="008900CD" w:rsidP="008900CD">
      <w:pPr>
        <w:tabs>
          <w:tab w:val="left" w:pos="-1440"/>
          <w:tab w:val="left" w:pos="-720"/>
        </w:tabs>
        <w:suppressAutoHyphens/>
      </w:pPr>
    </w:p>
    <w:p w:rsidR="008900CD" w:rsidRDefault="008900CD" w:rsidP="008900CD">
      <w:pPr>
        <w:tabs>
          <w:tab w:val="left" w:pos="-1440"/>
          <w:tab w:val="left" w:pos="-720"/>
        </w:tabs>
        <w:suppressAutoHyphens/>
      </w:pPr>
      <w:r>
        <w:tab/>
        <w:t>Washington law does not preclude a physician from contracting with the patient for medical services, and does not restrict the physician from collecting the remaining balance of the value of his or her services in the event a lien was filed.</w:t>
      </w:r>
      <w:r w:rsidR="000942DB">
        <w:rPr>
          <w:rStyle w:val="FootnoteReference"/>
        </w:rPr>
        <w:footnoteReference w:id="4"/>
      </w:r>
      <w:r>
        <w:t xml:space="preserve">  If the physician chooses not to file a lien, he or she is entitled to collect the entire value of services provided from the patient directly, before or after the patient has received the settlement or litigation proceeds.</w:t>
      </w:r>
    </w:p>
    <w:p w:rsidR="008900CD" w:rsidRDefault="008900CD" w:rsidP="008900CD">
      <w:pPr>
        <w:tabs>
          <w:tab w:val="left" w:pos="-1440"/>
          <w:tab w:val="left" w:pos="-720"/>
        </w:tabs>
        <w:suppressAutoHyphens/>
      </w:pPr>
    </w:p>
    <w:p w:rsidR="008900CD" w:rsidRDefault="008900CD" w:rsidP="008900CD">
      <w:pPr>
        <w:pStyle w:val="Heading2"/>
      </w:pPr>
      <w:r>
        <w:t>How is the lien claimed?</w:t>
      </w:r>
    </w:p>
    <w:p w:rsidR="008900CD" w:rsidRDefault="008900CD" w:rsidP="008900CD">
      <w:pPr>
        <w:keepNext/>
        <w:keepLines/>
        <w:widowControl w:val="0"/>
        <w:tabs>
          <w:tab w:val="left" w:pos="-1440"/>
          <w:tab w:val="left" w:pos="-720"/>
        </w:tabs>
        <w:suppressAutoHyphens/>
      </w:pPr>
    </w:p>
    <w:p w:rsidR="008900CD" w:rsidRDefault="008900CD" w:rsidP="008900CD">
      <w:pPr>
        <w:tabs>
          <w:tab w:val="left" w:pos="-1440"/>
          <w:tab w:val="left" w:pos="-720"/>
        </w:tabs>
        <w:suppressAutoHyphens/>
      </w:pPr>
      <w:r>
        <w:tab/>
        <w:t>In order to claim and be entitled to the lien, the physician must file a notice with the county auditor of the county in which services were provided within 20 days after the date of injury or receipt of services, or, if settlement has not been reached</w:t>
      </w:r>
      <w:r w:rsidR="000942DB">
        <w:t xml:space="preserve"> and payment has not been made to the injured patient</w:t>
      </w:r>
      <w:r>
        <w:t>, at any time prior to settlement and payment to the patient.</w:t>
      </w:r>
      <w:r w:rsidR="000942DB">
        <w:rPr>
          <w:rStyle w:val="FootnoteReference"/>
        </w:rPr>
        <w:footnoteReference w:id="5"/>
      </w:r>
      <w:r>
        <w:t xml:space="preserve">  The notice must be verified under oath by the person claiming the lien and must state:</w:t>
      </w:r>
      <w:r w:rsidR="000942DB">
        <w:rPr>
          <w:rStyle w:val="FootnoteReference"/>
        </w:rPr>
        <w:footnoteReference w:id="6"/>
      </w:r>
    </w:p>
    <w:p w:rsidR="008900CD" w:rsidRDefault="008900CD" w:rsidP="008900CD">
      <w:pPr>
        <w:tabs>
          <w:tab w:val="left" w:pos="-1440"/>
          <w:tab w:val="left" w:pos="-720"/>
        </w:tabs>
        <w:suppressAutoHyphens/>
      </w:pPr>
    </w:p>
    <w:p w:rsidR="008900CD" w:rsidRDefault="008900CD" w:rsidP="008900CD">
      <w:pPr>
        <w:pStyle w:val="ListBullet"/>
      </w:pPr>
      <w:r>
        <w:t>The name and address of the person claiming the lien.</w:t>
      </w:r>
    </w:p>
    <w:p w:rsidR="008900CD" w:rsidRDefault="008900CD" w:rsidP="008900CD">
      <w:pPr>
        <w:tabs>
          <w:tab w:val="left" w:pos="-1440"/>
          <w:tab w:val="left" w:pos="-720"/>
        </w:tabs>
        <w:suppressAutoHyphens/>
      </w:pPr>
    </w:p>
    <w:p w:rsidR="008900CD" w:rsidRDefault="008900CD" w:rsidP="008900CD">
      <w:pPr>
        <w:pStyle w:val="ListBullet"/>
      </w:pPr>
      <w:r>
        <w:t>The services provided.</w:t>
      </w:r>
    </w:p>
    <w:p w:rsidR="008900CD" w:rsidRDefault="008900CD" w:rsidP="008900CD">
      <w:pPr>
        <w:tabs>
          <w:tab w:val="left" w:pos="-1440"/>
          <w:tab w:val="left" w:pos="-720"/>
        </w:tabs>
        <w:suppressAutoHyphens/>
      </w:pPr>
    </w:p>
    <w:p w:rsidR="008900CD" w:rsidRDefault="008900CD" w:rsidP="008900CD">
      <w:pPr>
        <w:pStyle w:val="ListBullet"/>
      </w:pPr>
      <w:r>
        <w:t>The identity of the parties.</w:t>
      </w:r>
    </w:p>
    <w:p w:rsidR="008900CD" w:rsidRDefault="008900CD" w:rsidP="008900CD">
      <w:pPr>
        <w:tabs>
          <w:tab w:val="left" w:pos="-1440"/>
          <w:tab w:val="left" w:pos="-720"/>
        </w:tabs>
        <w:suppressAutoHyphens/>
      </w:pPr>
    </w:p>
    <w:p w:rsidR="008900CD" w:rsidRDefault="008900CD" w:rsidP="008900CD">
      <w:pPr>
        <w:pStyle w:val="ListBullet"/>
      </w:pPr>
      <w:r>
        <w:lastRenderedPageBreak/>
        <w:t>The circumstances of the injury.</w:t>
      </w:r>
    </w:p>
    <w:p w:rsidR="008900CD" w:rsidRDefault="008900CD" w:rsidP="008900CD">
      <w:pPr>
        <w:tabs>
          <w:tab w:val="left" w:pos="-1440"/>
          <w:tab w:val="left" w:pos="-720"/>
        </w:tabs>
        <w:suppressAutoHyphens/>
      </w:pPr>
    </w:p>
    <w:p w:rsidR="008900CD" w:rsidRDefault="008900CD" w:rsidP="008900CD">
      <w:pPr>
        <w:pStyle w:val="ListBullet"/>
      </w:pPr>
      <w:r>
        <w:t>The name and address of the patient.</w:t>
      </w:r>
    </w:p>
    <w:p w:rsidR="008900CD" w:rsidRDefault="008900CD" w:rsidP="008900CD">
      <w:pPr>
        <w:tabs>
          <w:tab w:val="left" w:pos="-1440"/>
          <w:tab w:val="left" w:pos="-720"/>
        </w:tabs>
        <w:suppressAutoHyphens/>
      </w:pPr>
    </w:p>
    <w:p w:rsidR="008900CD" w:rsidRDefault="008900CD" w:rsidP="008900CD">
      <w:pPr>
        <w:pStyle w:val="ListBullet"/>
      </w:pPr>
      <w:r>
        <w:t xml:space="preserve">The time and place where the alleged fault or negligence of the </w:t>
      </w:r>
      <w:proofErr w:type="spellStart"/>
      <w:r>
        <w:t>tortfeasor</w:t>
      </w:r>
      <w:proofErr w:type="spellEnd"/>
      <w:r>
        <w:t xml:space="preserve"> occurred.</w:t>
      </w:r>
    </w:p>
    <w:p w:rsidR="008900CD" w:rsidRDefault="008900CD" w:rsidP="008900CD">
      <w:pPr>
        <w:tabs>
          <w:tab w:val="left" w:pos="-1440"/>
          <w:tab w:val="left" w:pos="-720"/>
        </w:tabs>
        <w:suppressAutoHyphens/>
      </w:pPr>
    </w:p>
    <w:p w:rsidR="008900CD" w:rsidRDefault="008900CD" w:rsidP="008900CD">
      <w:pPr>
        <w:pStyle w:val="ListBullet"/>
      </w:pPr>
      <w:r>
        <w:t>The nature of the injury.</w:t>
      </w:r>
    </w:p>
    <w:p w:rsidR="008900CD" w:rsidRDefault="008900CD" w:rsidP="008900CD">
      <w:pPr>
        <w:tabs>
          <w:tab w:val="left" w:pos="-1440"/>
          <w:tab w:val="left" w:pos="-720"/>
        </w:tabs>
        <w:suppressAutoHyphens/>
      </w:pPr>
    </w:p>
    <w:p w:rsidR="008900CD" w:rsidRDefault="008900CD" w:rsidP="008900CD">
      <w:pPr>
        <w:pStyle w:val="ListBullet"/>
      </w:pPr>
      <w:r>
        <w:t xml:space="preserve">The name and address of the </w:t>
      </w:r>
      <w:proofErr w:type="spellStart"/>
      <w:r>
        <w:t>tortfeasor</w:t>
      </w:r>
      <w:proofErr w:type="spellEnd"/>
      <w:r>
        <w:t>, if known.</w:t>
      </w:r>
    </w:p>
    <w:p w:rsidR="008900CD" w:rsidRDefault="008900CD" w:rsidP="008900CD">
      <w:pPr>
        <w:tabs>
          <w:tab w:val="left" w:pos="-1440"/>
          <w:tab w:val="left" w:pos="-720"/>
        </w:tabs>
        <w:suppressAutoHyphens/>
      </w:pPr>
    </w:p>
    <w:p w:rsidR="008900CD" w:rsidRDefault="008900CD" w:rsidP="008900CD">
      <w:pPr>
        <w:pStyle w:val="Heading2"/>
      </w:pPr>
      <w:r>
        <w:t>How is the lien enforced?</w:t>
      </w:r>
    </w:p>
    <w:p w:rsidR="008900CD" w:rsidRDefault="008900CD" w:rsidP="008900CD">
      <w:pPr>
        <w:keepNext/>
        <w:keepLines/>
        <w:widowControl w:val="0"/>
        <w:tabs>
          <w:tab w:val="left" w:pos="-1440"/>
          <w:tab w:val="left" w:pos="-720"/>
        </w:tabs>
        <w:suppressAutoHyphens/>
      </w:pPr>
    </w:p>
    <w:p w:rsidR="002F3A57" w:rsidRDefault="008900CD" w:rsidP="008900CD">
      <w:r>
        <w:tab/>
        <w:t>The lien may be enforced b</w:t>
      </w:r>
      <w:bookmarkStart w:id="1" w:name="_GoBack"/>
      <w:bookmarkEnd w:id="1"/>
      <w:r>
        <w:t>y a lawsuit brought within one year after the lien is filed.</w:t>
      </w:r>
      <w:r w:rsidR="000942DB">
        <w:rPr>
          <w:rStyle w:val="FootnoteReference"/>
        </w:rPr>
        <w:footnoteReference w:id="7"/>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F0A" w:rsidRDefault="00796F0A" w:rsidP="00802848">
      <w:r>
        <w:separator/>
      </w:r>
    </w:p>
  </w:endnote>
  <w:endnote w:type="continuationSeparator" w:id="0">
    <w:p w:rsidR="00796F0A" w:rsidRDefault="00796F0A" w:rsidP="0080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F0A" w:rsidRDefault="00796F0A" w:rsidP="00802848">
      <w:r>
        <w:separator/>
      </w:r>
    </w:p>
  </w:footnote>
  <w:footnote w:type="continuationSeparator" w:id="0">
    <w:p w:rsidR="00796F0A" w:rsidRDefault="00796F0A" w:rsidP="00802848">
      <w:r>
        <w:continuationSeparator/>
      </w:r>
    </w:p>
  </w:footnote>
  <w:footnote w:id="1">
    <w:p w:rsidR="00802848" w:rsidRDefault="00802848">
      <w:pPr>
        <w:pStyle w:val="FootnoteText"/>
      </w:pPr>
      <w:r>
        <w:rPr>
          <w:rStyle w:val="FootnoteReference"/>
        </w:rPr>
        <w:footnoteRef/>
      </w:r>
      <w:r>
        <w:t xml:space="preserve"> </w:t>
      </w:r>
      <w:proofErr w:type="gramStart"/>
      <w:r>
        <w:t>RCW 60.44.010.</w:t>
      </w:r>
      <w:proofErr w:type="gramEnd"/>
    </w:p>
  </w:footnote>
  <w:footnote w:id="2">
    <w:p w:rsidR="00802848" w:rsidRPr="00802848" w:rsidRDefault="00802848">
      <w:pPr>
        <w:pStyle w:val="FootnoteText"/>
      </w:pPr>
      <w:r>
        <w:rPr>
          <w:rStyle w:val="FootnoteReference"/>
        </w:rPr>
        <w:footnoteRef/>
      </w:r>
      <w:r>
        <w:t xml:space="preserve"> </w:t>
      </w:r>
      <w:r>
        <w:rPr>
          <w:i/>
        </w:rPr>
        <w:t>Id</w:t>
      </w:r>
      <w:r>
        <w:t>.</w:t>
      </w:r>
    </w:p>
  </w:footnote>
  <w:footnote w:id="3">
    <w:p w:rsidR="00802848" w:rsidRPr="00802848" w:rsidRDefault="00802848">
      <w:pPr>
        <w:pStyle w:val="FootnoteText"/>
      </w:pPr>
      <w:r>
        <w:rPr>
          <w:rStyle w:val="FootnoteReference"/>
        </w:rPr>
        <w:footnoteRef/>
      </w:r>
      <w:r>
        <w:t xml:space="preserve"> </w:t>
      </w:r>
      <w:r>
        <w:rPr>
          <w:i/>
        </w:rPr>
        <w:t>Id</w:t>
      </w:r>
      <w:r>
        <w:t>.</w:t>
      </w:r>
    </w:p>
  </w:footnote>
  <w:footnote w:id="4">
    <w:p w:rsidR="000942DB" w:rsidRDefault="000942DB">
      <w:pPr>
        <w:pStyle w:val="FootnoteText"/>
      </w:pPr>
      <w:r>
        <w:rPr>
          <w:rStyle w:val="FootnoteReference"/>
        </w:rPr>
        <w:footnoteRef/>
      </w:r>
      <w:r>
        <w:t xml:space="preserve"> </w:t>
      </w:r>
      <w:proofErr w:type="gramStart"/>
      <w:r>
        <w:t>RCW 60.44.040.</w:t>
      </w:r>
      <w:proofErr w:type="gramEnd"/>
    </w:p>
  </w:footnote>
  <w:footnote w:id="5">
    <w:p w:rsidR="000942DB" w:rsidRDefault="000942DB">
      <w:pPr>
        <w:pStyle w:val="FootnoteText"/>
      </w:pPr>
      <w:r>
        <w:rPr>
          <w:rStyle w:val="FootnoteReference"/>
        </w:rPr>
        <w:footnoteRef/>
      </w:r>
      <w:r>
        <w:t xml:space="preserve"> </w:t>
      </w:r>
      <w:proofErr w:type="gramStart"/>
      <w:r>
        <w:t>RCW 60.44.020.</w:t>
      </w:r>
      <w:proofErr w:type="gramEnd"/>
    </w:p>
  </w:footnote>
  <w:footnote w:id="6">
    <w:p w:rsidR="000942DB" w:rsidRPr="000942DB" w:rsidRDefault="000942DB">
      <w:pPr>
        <w:pStyle w:val="FootnoteText"/>
      </w:pPr>
      <w:r>
        <w:rPr>
          <w:rStyle w:val="FootnoteReference"/>
        </w:rPr>
        <w:footnoteRef/>
      </w:r>
      <w:r>
        <w:t xml:space="preserve"> </w:t>
      </w:r>
      <w:r>
        <w:rPr>
          <w:i/>
        </w:rPr>
        <w:t>Id</w:t>
      </w:r>
      <w:r>
        <w:t>.</w:t>
      </w:r>
    </w:p>
  </w:footnote>
  <w:footnote w:id="7">
    <w:p w:rsidR="000942DB" w:rsidRDefault="000942DB">
      <w:pPr>
        <w:pStyle w:val="FootnoteText"/>
      </w:pPr>
      <w:r>
        <w:rPr>
          <w:rStyle w:val="FootnoteReference"/>
        </w:rPr>
        <w:footnoteRef/>
      </w:r>
      <w:r>
        <w:t xml:space="preserve"> RCW 60.44.060.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CD"/>
    <w:rsid w:val="000942DB"/>
    <w:rsid w:val="000C75BC"/>
    <w:rsid w:val="000D4519"/>
    <w:rsid w:val="00175D9F"/>
    <w:rsid w:val="002573E6"/>
    <w:rsid w:val="002F3A57"/>
    <w:rsid w:val="00751593"/>
    <w:rsid w:val="00796F0A"/>
    <w:rsid w:val="00802848"/>
    <w:rsid w:val="008900CD"/>
    <w:rsid w:val="00ED4E7C"/>
    <w:rsid w:val="00F30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0CD"/>
    <w:pPr>
      <w:spacing w:after="0" w:line="240" w:lineRule="auto"/>
      <w:jc w:val="both"/>
    </w:pPr>
    <w:rPr>
      <w:rFonts w:eastAsia="Times New Roman"/>
    </w:rPr>
  </w:style>
  <w:style w:type="paragraph" w:styleId="Heading1">
    <w:name w:val="heading 1"/>
    <w:basedOn w:val="Normal"/>
    <w:next w:val="Normal"/>
    <w:link w:val="Heading1Char"/>
    <w:qFormat/>
    <w:rsid w:val="008900CD"/>
    <w:pPr>
      <w:keepNext/>
      <w:keepLines/>
      <w:widowControl w:val="0"/>
      <w:jc w:val="center"/>
      <w:outlineLvl w:val="0"/>
    </w:pPr>
    <w:rPr>
      <w:b/>
      <w:kern w:val="28"/>
    </w:rPr>
  </w:style>
  <w:style w:type="paragraph" w:styleId="Heading2">
    <w:name w:val="heading 2"/>
    <w:basedOn w:val="Normal"/>
    <w:next w:val="Normal"/>
    <w:link w:val="Heading2Char"/>
    <w:qFormat/>
    <w:rsid w:val="008900C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0CD"/>
    <w:rPr>
      <w:rFonts w:eastAsia="Times New Roman"/>
      <w:b/>
      <w:kern w:val="28"/>
    </w:rPr>
  </w:style>
  <w:style w:type="character" w:customStyle="1" w:styleId="Heading2Char">
    <w:name w:val="Heading 2 Char"/>
    <w:basedOn w:val="DefaultParagraphFont"/>
    <w:link w:val="Heading2"/>
    <w:rsid w:val="008900CD"/>
    <w:rPr>
      <w:rFonts w:eastAsia="Times New Roman"/>
      <w:b/>
    </w:rPr>
  </w:style>
  <w:style w:type="paragraph" w:styleId="ListBullet">
    <w:name w:val="List Bullet"/>
    <w:basedOn w:val="Normal"/>
    <w:next w:val="Normal"/>
    <w:autoRedefine/>
    <w:semiHidden/>
    <w:rsid w:val="008900CD"/>
    <w:pPr>
      <w:numPr>
        <w:numId w:val="1"/>
      </w:numPr>
    </w:pPr>
  </w:style>
  <w:style w:type="paragraph" w:styleId="FootnoteText">
    <w:name w:val="footnote text"/>
    <w:basedOn w:val="Normal"/>
    <w:link w:val="FootnoteTextChar"/>
    <w:uiPriority w:val="99"/>
    <w:semiHidden/>
    <w:unhideWhenUsed/>
    <w:rsid w:val="00802848"/>
    <w:rPr>
      <w:sz w:val="20"/>
    </w:rPr>
  </w:style>
  <w:style w:type="character" w:customStyle="1" w:styleId="FootnoteTextChar">
    <w:name w:val="Footnote Text Char"/>
    <w:basedOn w:val="DefaultParagraphFont"/>
    <w:link w:val="FootnoteText"/>
    <w:uiPriority w:val="99"/>
    <w:semiHidden/>
    <w:rsid w:val="00802848"/>
    <w:rPr>
      <w:rFonts w:eastAsia="Times New Roman"/>
      <w:sz w:val="20"/>
    </w:rPr>
  </w:style>
  <w:style w:type="character" w:styleId="FootnoteReference">
    <w:name w:val="footnote reference"/>
    <w:basedOn w:val="DefaultParagraphFont"/>
    <w:uiPriority w:val="99"/>
    <w:semiHidden/>
    <w:unhideWhenUsed/>
    <w:rsid w:val="00802848"/>
    <w:rPr>
      <w:vertAlign w:val="superscript"/>
    </w:rPr>
  </w:style>
  <w:style w:type="paragraph" w:styleId="BalloonText">
    <w:name w:val="Balloon Text"/>
    <w:basedOn w:val="Normal"/>
    <w:link w:val="BalloonTextChar"/>
    <w:uiPriority w:val="99"/>
    <w:semiHidden/>
    <w:unhideWhenUsed/>
    <w:rsid w:val="00802848"/>
    <w:rPr>
      <w:rFonts w:ascii="Tahoma" w:hAnsi="Tahoma"/>
      <w:sz w:val="16"/>
      <w:szCs w:val="16"/>
    </w:rPr>
  </w:style>
  <w:style w:type="character" w:customStyle="1" w:styleId="BalloonTextChar">
    <w:name w:val="Balloon Text Char"/>
    <w:basedOn w:val="DefaultParagraphFont"/>
    <w:link w:val="BalloonText"/>
    <w:uiPriority w:val="99"/>
    <w:semiHidden/>
    <w:rsid w:val="00802848"/>
    <w:rPr>
      <w:rFonts w:ascii="Tahoma" w:eastAsia="Times New Roman" w:hAnsi="Tahoma"/>
      <w:sz w:val="16"/>
      <w:szCs w:val="16"/>
    </w:rPr>
  </w:style>
  <w:style w:type="character" w:styleId="CommentReference">
    <w:name w:val="annotation reference"/>
    <w:basedOn w:val="DefaultParagraphFont"/>
    <w:uiPriority w:val="99"/>
    <w:semiHidden/>
    <w:unhideWhenUsed/>
    <w:rsid w:val="000942DB"/>
    <w:rPr>
      <w:sz w:val="16"/>
      <w:szCs w:val="16"/>
    </w:rPr>
  </w:style>
  <w:style w:type="paragraph" w:styleId="CommentText">
    <w:name w:val="annotation text"/>
    <w:basedOn w:val="Normal"/>
    <w:link w:val="CommentTextChar"/>
    <w:uiPriority w:val="99"/>
    <w:semiHidden/>
    <w:unhideWhenUsed/>
    <w:rsid w:val="000942DB"/>
    <w:rPr>
      <w:sz w:val="20"/>
    </w:rPr>
  </w:style>
  <w:style w:type="character" w:customStyle="1" w:styleId="CommentTextChar">
    <w:name w:val="Comment Text Char"/>
    <w:basedOn w:val="DefaultParagraphFont"/>
    <w:link w:val="CommentText"/>
    <w:uiPriority w:val="99"/>
    <w:semiHidden/>
    <w:rsid w:val="000942DB"/>
    <w:rPr>
      <w:rFonts w:eastAsia="Times New Roman"/>
      <w:sz w:val="20"/>
    </w:rPr>
  </w:style>
  <w:style w:type="paragraph" w:styleId="CommentSubject">
    <w:name w:val="annotation subject"/>
    <w:basedOn w:val="CommentText"/>
    <w:next w:val="CommentText"/>
    <w:link w:val="CommentSubjectChar"/>
    <w:uiPriority w:val="99"/>
    <w:semiHidden/>
    <w:unhideWhenUsed/>
    <w:rsid w:val="000942DB"/>
    <w:rPr>
      <w:b/>
      <w:bCs/>
    </w:rPr>
  </w:style>
  <w:style w:type="character" w:customStyle="1" w:styleId="CommentSubjectChar">
    <w:name w:val="Comment Subject Char"/>
    <w:basedOn w:val="CommentTextChar"/>
    <w:link w:val="CommentSubject"/>
    <w:uiPriority w:val="99"/>
    <w:semiHidden/>
    <w:rsid w:val="000942DB"/>
    <w:rPr>
      <w:rFonts w:eastAsia="Times New Roman"/>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0CD"/>
    <w:pPr>
      <w:spacing w:after="0" w:line="240" w:lineRule="auto"/>
      <w:jc w:val="both"/>
    </w:pPr>
    <w:rPr>
      <w:rFonts w:eastAsia="Times New Roman"/>
    </w:rPr>
  </w:style>
  <w:style w:type="paragraph" w:styleId="Heading1">
    <w:name w:val="heading 1"/>
    <w:basedOn w:val="Normal"/>
    <w:next w:val="Normal"/>
    <w:link w:val="Heading1Char"/>
    <w:qFormat/>
    <w:rsid w:val="008900CD"/>
    <w:pPr>
      <w:keepNext/>
      <w:keepLines/>
      <w:widowControl w:val="0"/>
      <w:jc w:val="center"/>
      <w:outlineLvl w:val="0"/>
    </w:pPr>
    <w:rPr>
      <w:b/>
      <w:kern w:val="28"/>
    </w:rPr>
  </w:style>
  <w:style w:type="paragraph" w:styleId="Heading2">
    <w:name w:val="heading 2"/>
    <w:basedOn w:val="Normal"/>
    <w:next w:val="Normal"/>
    <w:link w:val="Heading2Char"/>
    <w:qFormat/>
    <w:rsid w:val="008900C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0CD"/>
    <w:rPr>
      <w:rFonts w:eastAsia="Times New Roman"/>
      <w:b/>
      <w:kern w:val="28"/>
    </w:rPr>
  </w:style>
  <w:style w:type="character" w:customStyle="1" w:styleId="Heading2Char">
    <w:name w:val="Heading 2 Char"/>
    <w:basedOn w:val="DefaultParagraphFont"/>
    <w:link w:val="Heading2"/>
    <w:rsid w:val="008900CD"/>
    <w:rPr>
      <w:rFonts w:eastAsia="Times New Roman"/>
      <w:b/>
    </w:rPr>
  </w:style>
  <w:style w:type="paragraph" w:styleId="ListBullet">
    <w:name w:val="List Bullet"/>
    <w:basedOn w:val="Normal"/>
    <w:next w:val="Normal"/>
    <w:autoRedefine/>
    <w:semiHidden/>
    <w:rsid w:val="008900CD"/>
    <w:pPr>
      <w:numPr>
        <w:numId w:val="1"/>
      </w:numPr>
    </w:pPr>
  </w:style>
  <w:style w:type="paragraph" w:styleId="FootnoteText">
    <w:name w:val="footnote text"/>
    <w:basedOn w:val="Normal"/>
    <w:link w:val="FootnoteTextChar"/>
    <w:uiPriority w:val="99"/>
    <w:semiHidden/>
    <w:unhideWhenUsed/>
    <w:rsid w:val="00802848"/>
    <w:rPr>
      <w:sz w:val="20"/>
    </w:rPr>
  </w:style>
  <w:style w:type="character" w:customStyle="1" w:styleId="FootnoteTextChar">
    <w:name w:val="Footnote Text Char"/>
    <w:basedOn w:val="DefaultParagraphFont"/>
    <w:link w:val="FootnoteText"/>
    <w:uiPriority w:val="99"/>
    <w:semiHidden/>
    <w:rsid w:val="00802848"/>
    <w:rPr>
      <w:rFonts w:eastAsia="Times New Roman"/>
      <w:sz w:val="20"/>
    </w:rPr>
  </w:style>
  <w:style w:type="character" w:styleId="FootnoteReference">
    <w:name w:val="footnote reference"/>
    <w:basedOn w:val="DefaultParagraphFont"/>
    <w:uiPriority w:val="99"/>
    <w:semiHidden/>
    <w:unhideWhenUsed/>
    <w:rsid w:val="00802848"/>
    <w:rPr>
      <w:vertAlign w:val="superscript"/>
    </w:rPr>
  </w:style>
  <w:style w:type="paragraph" w:styleId="BalloonText">
    <w:name w:val="Balloon Text"/>
    <w:basedOn w:val="Normal"/>
    <w:link w:val="BalloonTextChar"/>
    <w:uiPriority w:val="99"/>
    <w:semiHidden/>
    <w:unhideWhenUsed/>
    <w:rsid w:val="00802848"/>
    <w:rPr>
      <w:rFonts w:ascii="Tahoma" w:hAnsi="Tahoma"/>
      <w:sz w:val="16"/>
      <w:szCs w:val="16"/>
    </w:rPr>
  </w:style>
  <w:style w:type="character" w:customStyle="1" w:styleId="BalloonTextChar">
    <w:name w:val="Balloon Text Char"/>
    <w:basedOn w:val="DefaultParagraphFont"/>
    <w:link w:val="BalloonText"/>
    <w:uiPriority w:val="99"/>
    <w:semiHidden/>
    <w:rsid w:val="00802848"/>
    <w:rPr>
      <w:rFonts w:ascii="Tahoma" w:eastAsia="Times New Roman" w:hAnsi="Tahoma"/>
      <w:sz w:val="16"/>
      <w:szCs w:val="16"/>
    </w:rPr>
  </w:style>
  <w:style w:type="character" w:styleId="CommentReference">
    <w:name w:val="annotation reference"/>
    <w:basedOn w:val="DefaultParagraphFont"/>
    <w:uiPriority w:val="99"/>
    <w:semiHidden/>
    <w:unhideWhenUsed/>
    <w:rsid w:val="000942DB"/>
    <w:rPr>
      <w:sz w:val="16"/>
      <w:szCs w:val="16"/>
    </w:rPr>
  </w:style>
  <w:style w:type="paragraph" w:styleId="CommentText">
    <w:name w:val="annotation text"/>
    <w:basedOn w:val="Normal"/>
    <w:link w:val="CommentTextChar"/>
    <w:uiPriority w:val="99"/>
    <w:semiHidden/>
    <w:unhideWhenUsed/>
    <w:rsid w:val="000942DB"/>
    <w:rPr>
      <w:sz w:val="20"/>
    </w:rPr>
  </w:style>
  <w:style w:type="character" w:customStyle="1" w:styleId="CommentTextChar">
    <w:name w:val="Comment Text Char"/>
    <w:basedOn w:val="DefaultParagraphFont"/>
    <w:link w:val="CommentText"/>
    <w:uiPriority w:val="99"/>
    <w:semiHidden/>
    <w:rsid w:val="000942DB"/>
    <w:rPr>
      <w:rFonts w:eastAsia="Times New Roman"/>
      <w:sz w:val="20"/>
    </w:rPr>
  </w:style>
  <w:style w:type="paragraph" w:styleId="CommentSubject">
    <w:name w:val="annotation subject"/>
    <w:basedOn w:val="CommentText"/>
    <w:next w:val="CommentText"/>
    <w:link w:val="CommentSubjectChar"/>
    <w:uiPriority w:val="99"/>
    <w:semiHidden/>
    <w:unhideWhenUsed/>
    <w:rsid w:val="000942DB"/>
    <w:rPr>
      <w:b/>
      <w:bCs/>
    </w:rPr>
  </w:style>
  <w:style w:type="character" w:customStyle="1" w:styleId="CommentSubjectChar">
    <w:name w:val="Comment Subject Char"/>
    <w:basedOn w:val="CommentTextChar"/>
    <w:link w:val="CommentSubject"/>
    <w:uiPriority w:val="99"/>
    <w:semiHidden/>
    <w:rsid w:val="000942DB"/>
    <w:rPr>
      <w:rFonts w:eastAsia="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B24CB2-9072-4158-B3B0-18632843DC9B}"/>
</file>

<file path=customXml/itemProps2.xml><?xml version="1.0" encoding="utf-8"?>
<ds:datastoreItem xmlns:ds="http://schemas.openxmlformats.org/officeDocument/2006/customXml" ds:itemID="{A803F438-064D-4587-A3F1-85F9E6835CD1}"/>
</file>

<file path=customXml/itemProps3.xml><?xml version="1.0" encoding="utf-8"?>
<ds:datastoreItem xmlns:ds="http://schemas.openxmlformats.org/officeDocument/2006/customXml" ds:itemID="{7FC8D531-EF76-4380-BCC9-1187FF9AAD11}"/>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2012-12-03T00:52:00Z</dcterms:created>
  <dcterms:modified xsi:type="dcterms:W3CDTF">2012-12-03T00:52:00Z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