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4B" w:rsidRDefault="001D0921" w:rsidP="003E654B">
      <w:pPr>
        <w:pStyle w:val="Heading1"/>
      </w:pPr>
      <w:bookmarkStart w:id="0" w:name="_Toc161565695"/>
      <w:r>
        <w:t xml:space="preserve">MEDICARE-MEDICAID </w:t>
      </w:r>
      <w:r w:rsidR="00587875">
        <w:t>PHYSICIAN</w:t>
      </w:r>
      <w:r w:rsidR="00587875" w:rsidDel="00587875">
        <w:t xml:space="preserve"> </w:t>
      </w:r>
      <w:r w:rsidR="003E654B">
        <w:t>SELF-REFERRAL</w:t>
      </w:r>
      <w:r w:rsidR="00587875">
        <w:t xml:space="preserve"> </w:t>
      </w:r>
      <w:r w:rsidR="003E654B">
        <w:t>PROHIBITIONS (STARK</w:t>
      </w:r>
      <w:r>
        <w:t xml:space="preserve"> </w:t>
      </w:r>
      <w:r w:rsidR="003E654B">
        <w:t>LAWS</w:t>
      </w:r>
      <w:bookmarkEnd w:id="0"/>
      <w:r>
        <w:t>)</w:t>
      </w:r>
    </w:p>
    <w:p w:rsidR="003E654B" w:rsidRDefault="003E654B" w:rsidP="003E654B">
      <w:pPr>
        <w:keepNext/>
        <w:keepLines/>
        <w:widowControl w:val="0"/>
      </w:pPr>
    </w:p>
    <w:p w:rsidR="003E654B" w:rsidRDefault="003E654B" w:rsidP="003E654B">
      <w:pPr>
        <w:keepNext/>
        <w:keepLines/>
        <w:widowControl w:val="0"/>
      </w:pPr>
    </w:p>
    <w:p w:rsidR="0038668E" w:rsidRDefault="00831111" w:rsidP="0038668E">
      <w:pPr>
        <w:tabs>
          <w:tab w:val="left" w:pos="-1440"/>
          <w:tab w:val="left" w:pos="-720"/>
        </w:tabs>
        <w:suppressAutoHyphens/>
      </w:pPr>
      <w:r>
        <w:t xml:space="preserve">NOTE: </w:t>
      </w:r>
      <w:r w:rsidR="0038668E" w:rsidRPr="0038668E">
        <w:t xml:space="preserve">Analysis of potential physician self-referral issues is very complex and fact-specific.  The </w:t>
      </w:r>
      <w:r w:rsidR="00587875">
        <w:t xml:space="preserve">Stark </w:t>
      </w:r>
      <w:r w:rsidR="0038668E" w:rsidRPr="0038668E">
        <w:t xml:space="preserve">law and how it is interpreted changes frequently.  Almost all of the exceptions to the laws and regulations </w:t>
      </w:r>
      <w:r w:rsidR="00587875">
        <w:t xml:space="preserve">prohibiting self-referral </w:t>
      </w:r>
      <w:r w:rsidR="0038668E" w:rsidRPr="0038668E">
        <w:t xml:space="preserve">require </w:t>
      </w:r>
      <w:r w:rsidR="00587875">
        <w:t>compliance with</w:t>
      </w:r>
      <w:r w:rsidR="0038668E" w:rsidRPr="0038668E">
        <w:t xml:space="preserve"> multiple specific conditions.</w:t>
      </w:r>
      <w:r w:rsidR="00A022C8">
        <w:rPr>
          <w:b/>
        </w:rPr>
        <w:t xml:space="preserve">  </w:t>
      </w:r>
      <w:r w:rsidR="00587875">
        <w:t>Physicians are well-advised to seek legal advice before assuming that their ownership or investment interests or compensation arrangements with referral sources do not violate the Stark laws</w:t>
      </w:r>
      <w:r w:rsidR="0072141A">
        <w:t>.  The Legal Resource Center of the Washington State Medical Association (</w:t>
      </w:r>
      <w:hyperlink r:id="rId7" w:history="1">
        <w:r w:rsidR="0072141A">
          <w:rPr>
            <w:rStyle w:val="Hyperlink"/>
          </w:rPr>
          <w:t>www.wsma.org</w:t>
        </w:r>
      </w:hyperlink>
      <w:r w:rsidR="0038668E" w:rsidRPr="0038668E">
        <w:t>) can assist you in identifying attorneys experienced in Stark and other self-referral questions.</w:t>
      </w:r>
    </w:p>
    <w:p w:rsidR="0038668E" w:rsidRDefault="0038668E" w:rsidP="0038668E"/>
    <w:p w:rsidR="003E654B" w:rsidRDefault="003E654B" w:rsidP="003E654B">
      <w:pPr>
        <w:pStyle w:val="Heading2"/>
      </w:pPr>
      <w:r>
        <w:t xml:space="preserve">What are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 a federal law which became effective on January 1, 1992, </w:t>
      </w:r>
      <w:proofErr w:type="gramStart"/>
      <w:r>
        <w:t>prohibits</w:t>
      </w:r>
      <w:proofErr w:type="gramEnd"/>
      <w:r>
        <w:t xml:space="preserve"> a physician from referring patients for Medicare covered services to a clinical laboratory with whom the physician has a financial relationship.</w:t>
      </w:r>
      <w:r w:rsidR="00253906">
        <w:rPr>
          <w:rStyle w:val="FootnoteReference"/>
        </w:rPr>
        <w:footnoteReference w:id="1"/>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II, a federal law which became effective on January 1, 1995, expands the physician referral prohibitions of </w:t>
      </w:r>
      <w:r w:rsidR="00587875">
        <w:t>Stark</w:t>
      </w:r>
      <w:r>
        <w:t xml:space="preserve"> I to include Medicaid and to embrace 10 other designated health services.</w:t>
      </w:r>
      <w:r w:rsidR="00253906">
        <w:rPr>
          <w:rStyle w:val="FootnoteReference"/>
        </w:rPr>
        <w:footnoteReference w:id="2"/>
      </w:r>
      <w:r>
        <w:t xml:space="preserve">  </w:t>
      </w:r>
      <w:r w:rsidR="00587875">
        <w:t>Stark</w:t>
      </w:r>
      <w:r>
        <w:t xml:space="preserve"> II prohibits a physician from making a referral of a Medicare or Medicaid patient to an entity for the provision of certain “designated health services,” if the physician, or an immediate family member of the physician, has a financial relationship (whether through an ownership or investment interest or a compensation arrangement) with the entity.</w:t>
      </w:r>
      <w:r w:rsidR="00831111">
        <w:rPr>
          <w:rStyle w:val="FootnoteReference"/>
        </w:rPr>
        <w:footnoteReference w:id="3"/>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II also prohibits an entity providing designated health services from billing for any designated health services furnished pursuant to a prohibited referral.</w:t>
      </w:r>
      <w:r w:rsidR="00831111">
        <w:rPr>
          <w:rStyle w:val="FootnoteReference"/>
        </w:rPr>
        <w:footnoteReference w:id="4"/>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t xml:space="preserve">Further, </w:t>
      </w:r>
      <w:r w:rsidR="00587875">
        <w:t>Stark</w:t>
      </w:r>
      <w:r>
        <w:t xml:space="preserve"> II requires each entity which provides designated health services to report information concerning the entity’s ownership, investment and compensation arrangements.</w:t>
      </w:r>
      <w:r w:rsidR="00831111">
        <w:rPr>
          <w:rStyle w:val="FootnoteReference"/>
        </w:rPr>
        <w:footnoteReference w:id="5"/>
      </w:r>
    </w:p>
    <w:p w:rsidR="00831111" w:rsidRDefault="00831111" w:rsidP="003E654B">
      <w:pPr>
        <w:tabs>
          <w:tab w:val="left" w:pos="-1440"/>
          <w:tab w:val="left" w:pos="-720"/>
        </w:tabs>
        <w:suppressAutoHyphens/>
      </w:pPr>
    </w:p>
    <w:p w:rsidR="00831111" w:rsidRDefault="00831111" w:rsidP="003E654B">
      <w:pPr>
        <w:tabs>
          <w:tab w:val="left" w:pos="-1440"/>
          <w:tab w:val="left" w:pos="-720"/>
        </w:tabs>
        <w:suppressAutoHyphens/>
      </w:pPr>
      <w:r>
        <w:tab/>
        <w:t>The Centers for Medicare and Medicaid Services (CMS) released Phase III of their final regulations (</w:t>
      </w:r>
      <w:r w:rsidR="00587875">
        <w:t>Stark</w:t>
      </w:r>
      <w:r>
        <w:t xml:space="preserve"> III) on September 5, 2007.</w:t>
      </w:r>
      <w:r w:rsidR="00872C5B">
        <w:rPr>
          <w:rStyle w:val="FootnoteReference"/>
        </w:rPr>
        <w:footnoteReference w:id="6"/>
      </w:r>
      <w:r>
        <w:t xml:space="preserve">  </w:t>
      </w:r>
      <w:r w:rsidR="00CE3EF0">
        <w:t>Stark III is a response to comments CMS received on Phase II.  Stark III addresses the entire group of regulations regarding self-referral, and expands upon, but does not alter, concepts that were introduced in Stark I and II.</w:t>
      </w:r>
      <w:r w:rsidR="00CE3EF0">
        <w:rPr>
          <w:rStyle w:val="FootnoteReference"/>
        </w:rPr>
        <w:footnoteReference w:id="7"/>
      </w:r>
    </w:p>
    <w:p w:rsidR="003E654B" w:rsidRDefault="003E654B" w:rsidP="003E654B">
      <w:pPr>
        <w:tabs>
          <w:tab w:val="left" w:pos="-1440"/>
          <w:tab w:val="left" w:pos="-720"/>
        </w:tabs>
        <w:suppressAutoHyphens/>
      </w:pPr>
    </w:p>
    <w:p w:rsidR="003E654B" w:rsidRDefault="003E654B" w:rsidP="003E654B">
      <w:pPr>
        <w:pStyle w:val="Heading2"/>
      </w:pPr>
      <w:r>
        <w:lastRenderedPageBreak/>
        <w:t>What are designated health services?</w:t>
      </w:r>
    </w:p>
    <w:p w:rsidR="003E654B" w:rsidRDefault="003E654B" w:rsidP="003E654B">
      <w:pPr>
        <w:keepNext/>
        <w:keepLines/>
        <w:widowControl w:val="0"/>
        <w:tabs>
          <w:tab w:val="left" w:pos="-1440"/>
          <w:tab w:val="left" w:pos="-720"/>
        </w:tabs>
        <w:suppressAutoHyphens/>
      </w:pPr>
    </w:p>
    <w:p w:rsidR="003E654B" w:rsidRDefault="003E654B" w:rsidP="003E654B">
      <w:pPr>
        <w:keepNext/>
        <w:keepLines/>
        <w:widowControl w:val="0"/>
        <w:tabs>
          <w:tab w:val="left" w:pos="-1440"/>
          <w:tab w:val="left" w:pos="-720"/>
        </w:tabs>
        <w:suppressAutoHyphens/>
      </w:pPr>
      <w:r>
        <w:tab/>
        <w:t xml:space="preserve">The “designated health services” encompassed in </w:t>
      </w:r>
      <w:r w:rsidR="00872C5B">
        <w:t xml:space="preserve">the </w:t>
      </w:r>
      <w:r w:rsidR="00587875">
        <w:t>Stark</w:t>
      </w:r>
      <w:r w:rsidR="00872C5B">
        <w:t xml:space="preserve"> laws and regulations</w:t>
      </w:r>
      <w:r>
        <w:t xml:space="preserve"> include:</w:t>
      </w:r>
      <w:r w:rsidR="00872C5B">
        <w:rPr>
          <w:rStyle w:val="FootnoteReference"/>
        </w:rPr>
        <w:footnoteReference w:id="8"/>
      </w:r>
    </w:p>
    <w:p w:rsidR="003E654B" w:rsidRDefault="003E654B" w:rsidP="003E654B">
      <w:pPr>
        <w:keepNext/>
        <w:keepLines/>
        <w:widowControl w:val="0"/>
        <w:tabs>
          <w:tab w:val="left" w:pos="-1440"/>
          <w:tab w:val="left" w:pos="-720"/>
        </w:tabs>
        <w:suppressAutoHyphens/>
      </w:pPr>
    </w:p>
    <w:p w:rsidR="00AD03DB" w:rsidRDefault="003E654B" w:rsidP="00A819F5">
      <w:pPr>
        <w:pStyle w:val="ListBullet"/>
      </w:pPr>
      <w:r>
        <w:t>Clinical laboratory services.*</w:t>
      </w:r>
    </w:p>
    <w:p w:rsidR="003E654B" w:rsidRDefault="003E654B" w:rsidP="003E654B">
      <w:pPr>
        <w:tabs>
          <w:tab w:val="left" w:pos="-1440"/>
          <w:tab w:val="left" w:pos="-720"/>
        </w:tabs>
        <w:suppressAutoHyphens/>
      </w:pPr>
    </w:p>
    <w:p w:rsidR="00AD03DB" w:rsidRDefault="003E654B" w:rsidP="00A819F5">
      <w:pPr>
        <w:pStyle w:val="ListBullet"/>
      </w:pPr>
      <w:r>
        <w:t>Physical therapy</w:t>
      </w:r>
      <w:r w:rsidR="009E1CCC">
        <w:t>, occupational therapy, and outpatient speech-language pathology services</w:t>
      </w:r>
      <w:r>
        <w:t>.*</w:t>
      </w:r>
    </w:p>
    <w:p w:rsidR="003E654B" w:rsidRDefault="003E654B" w:rsidP="003E654B">
      <w:pPr>
        <w:tabs>
          <w:tab w:val="left" w:pos="-1440"/>
          <w:tab w:val="left" w:pos="-720"/>
        </w:tabs>
        <w:suppressAutoHyphens/>
      </w:pPr>
    </w:p>
    <w:p w:rsidR="00AD03DB" w:rsidRDefault="003E654B" w:rsidP="00A819F5">
      <w:pPr>
        <w:pStyle w:val="ListBullet"/>
      </w:pPr>
      <w:r>
        <w:t>Radiology services,</w:t>
      </w:r>
      <w:r w:rsidR="009E1CCC">
        <w:t xml:space="preserve"> </w:t>
      </w:r>
      <w:r>
        <w:t>including</w:t>
      </w:r>
      <w:r w:rsidR="009E1CCC">
        <w:t xml:space="preserve"> x-rays,</w:t>
      </w:r>
      <w:r>
        <w:t xml:space="preserve"> magnetic resonance imaging, computerized axial </w:t>
      </w:r>
      <w:proofErr w:type="gramStart"/>
      <w:r>
        <w:t>tomography</w:t>
      </w:r>
      <w:proofErr w:type="gramEnd"/>
      <w:r>
        <w:t xml:space="preserve"> scans, positive emission tomography, ultrasound services, and nuclear medicine.*</w:t>
      </w:r>
    </w:p>
    <w:p w:rsidR="00A819F5" w:rsidRPr="00A819F5" w:rsidRDefault="00A819F5" w:rsidP="00A819F5">
      <w:pPr>
        <w:pStyle w:val="ListBullet"/>
        <w:numPr>
          <w:ilvl w:val="0"/>
          <w:numId w:val="0"/>
        </w:numPr>
        <w:ind w:left="720"/>
      </w:pPr>
    </w:p>
    <w:p w:rsidR="00A819F5" w:rsidRDefault="006412F6" w:rsidP="00A819F5">
      <w:pPr>
        <w:pStyle w:val="ListBullet"/>
      </w:pPr>
      <w:r>
        <w:t>Note that with regard to certain imaging services, including MRI, CT, and PET scans, the referring physician must provide written notice (which must meet certain requirements set forth in regulations) to the patient at the time of the referral that the patient may receive the same service from a person other than the referring physician or the physician’s group.</w:t>
      </w:r>
      <w:r>
        <w:rPr>
          <w:rStyle w:val="FootnoteReference"/>
        </w:rPr>
        <w:footnoteReference w:id="9"/>
      </w:r>
    </w:p>
    <w:p w:rsidR="003E654B" w:rsidRDefault="003E654B" w:rsidP="003E654B">
      <w:pPr>
        <w:tabs>
          <w:tab w:val="left" w:pos="-1440"/>
          <w:tab w:val="left" w:pos="-720"/>
        </w:tabs>
        <w:suppressAutoHyphens/>
      </w:pPr>
    </w:p>
    <w:p w:rsidR="00AD03DB" w:rsidRDefault="003E654B" w:rsidP="00A819F5">
      <w:pPr>
        <w:pStyle w:val="ListBullet"/>
      </w:pPr>
      <w:r>
        <w:t>Radiation therapy services and supplies.*</w:t>
      </w:r>
    </w:p>
    <w:p w:rsidR="003E654B" w:rsidRDefault="003E654B" w:rsidP="003E654B">
      <w:pPr>
        <w:tabs>
          <w:tab w:val="left" w:pos="-1440"/>
          <w:tab w:val="left" w:pos="-720"/>
        </w:tabs>
        <w:suppressAutoHyphens/>
      </w:pPr>
    </w:p>
    <w:p w:rsidR="00AD03DB" w:rsidRDefault="003E654B" w:rsidP="00A819F5">
      <w:pPr>
        <w:pStyle w:val="ListBullet"/>
      </w:pPr>
      <w:r>
        <w:t>Durable medical equipment and supplies.</w:t>
      </w:r>
    </w:p>
    <w:p w:rsidR="003E654B" w:rsidRDefault="003E654B" w:rsidP="003E654B">
      <w:pPr>
        <w:tabs>
          <w:tab w:val="left" w:pos="-1440"/>
          <w:tab w:val="left" w:pos="-720"/>
        </w:tabs>
        <w:suppressAutoHyphens/>
      </w:pPr>
    </w:p>
    <w:p w:rsidR="00AD03DB" w:rsidRDefault="003E654B" w:rsidP="00A819F5">
      <w:pPr>
        <w:pStyle w:val="ListBullet"/>
      </w:pPr>
      <w:proofErr w:type="spellStart"/>
      <w:r>
        <w:t>Parenteral</w:t>
      </w:r>
      <w:proofErr w:type="spellEnd"/>
      <w:r>
        <w:t xml:space="preserve"> and </w:t>
      </w:r>
      <w:proofErr w:type="spellStart"/>
      <w:r>
        <w:t>enteral</w:t>
      </w:r>
      <w:proofErr w:type="spellEnd"/>
      <w:r>
        <w:t xml:space="preserve"> nutrients, equipment and supplies.</w:t>
      </w:r>
    </w:p>
    <w:p w:rsidR="003E654B" w:rsidRDefault="003E654B" w:rsidP="003E654B">
      <w:pPr>
        <w:tabs>
          <w:tab w:val="left" w:pos="-1440"/>
          <w:tab w:val="left" w:pos="-720"/>
          <w:tab w:val="left" w:pos="0"/>
          <w:tab w:val="left" w:pos="720"/>
        </w:tabs>
        <w:suppressAutoHyphens/>
        <w:ind w:left="1440" w:hanging="1440"/>
      </w:pPr>
    </w:p>
    <w:p w:rsidR="00AD03DB" w:rsidRDefault="003E654B" w:rsidP="00A819F5">
      <w:pPr>
        <w:pStyle w:val="ListBullet"/>
      </w:pPr>
      <w:r>
        <w:t>Prosthetics, orthotics and prosthetic devices and supplies.</w:t>
      </w:r>
    </w:p>
    <w:p w:rsidR="003E654B" w:rsidRDefault="003E654B" w:rsidP="003E654B">
      <w:pPr>
        <w:tabs>
          <w:tab w:val="left" w:pos="-1440"/>
          <w:tab w:val="left" w:pos="-720"/>
        </w:tabs>
        <w:suppressAutoHyphens/>
      </w:pPr>
    </w:p>
    <w:p w:rsidR="00AD03DB" w:rsidRDefault="003E654B" w:rsidP="00A819F5">
      <w:pPr>
        <w:pStyle w:val="ListBullet"/>
      </w:pPr>
      <w:r>
        <w:t>Home health services.</w:t>
      </w:r>
    </w:p>
    <w:p w:rsidR="003E654B" w:rsidRDefault="003E654B" w:rsidP="003E654B">
      <w:pPr>
        <w:tabs>
          <w:tab w:val="left" w:pos="-1440"/>
          <w:tab w:val="left" w:pos="-720"/>
        </w:tabs>
        <w:suppressAutoHyphens/>
      </w:pPr>
    </w:p>
    <w:p w:rsidR="00AD03DB" w:rsidRDefault="003E654B" w:rsidP="00A819F5">
      <w:pPr>
        <w:pStyle w:val="ListBullet"/>
      </w:pPr>
      <w:r>
        <w:t>Outpatient prescription drugs.</w:t>
      </w:r>
    </w:p>
    <w:p w:rsidR="003E654B" w:rsidRDefault="003E654B" w:rsidP="003E654B">
      <w:pPr>
        <w:tabs>
          <w:tab w:val="left" w:pos="-1440"/>
          <w:tab w:val="left" w:pos="-720"/>
        </w:tabs>
        <w:suppressAutoHyphens/>
      </w:pPr>
    </w:p>
    <w:p w:rsidR="00AD03DB" w:rsidRDefault="003E654B" w:rsidP="00A819F5">
      <w:pPr>
        <w:pStyle w:val="ListBullet"/>
      </w:pPr>
      <w:r>
        <w:t>Inpatient and outpatient hospital services.</w:t>
      </w:r>
    </w:p>
    <w:p w:rsidR="003E654B" w:rsidRDefault="003E654B" w:rsidP="003E654B"/>
    <w:p w:rsidR="003E654B" w:rsidRDefault="003E654B" w:rsidP="003E654B">
      <w:r>
        <w:t>*The list of CPT and HCPCS codes for the specific services that are considered DHS under the above categories that are followed by an asterisk is updated annually in the physician fee schedule final rule and on the CMS website.</w:t>
      </w:r>
      <w:r w:rsidR="009E1CCC">
        <w:rPr>
          <w:rStyle w:val="FootnoteReference"/>
        </w:rPr>
        <w:footnoteReference w:id="10"/>
      </w:r>
    </w:p>
    <w:p w:rsidR="003E654B" w:rsidRDefault="003E654B" w:rsidP="003E654B">
      <w:pPr>
        <w:tabs>
          <w:tab w:val="left" w:pos="-1440"/>
          <w:tab w:val="left" w:pos="-720"/>
        </w:tabs>
        <w:suppressAutoHyphens/>
      </w:pPr>
    </w:p>
    <w:p w:rsidR="003E654B" w:rsidRDefault="003E654B" w:rsidP="003E654B">
      <w:pPr>
        <w:pStyle w:val="Heading2"/>
      </w:pPr>
      <w:r>
        <w:t xml:space="preserve">Are there are any exceptions to the self-referral prohibitions of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t xml:space="preserve">Yes.  </w:t>
      </w:r>
      <w:r w:rsidR="00587875">
        <w:t>Stark</w:t>
      </w:r>
      <w:r>
        <w:t xml:space="preserve"> sets forth a number of statutory </w:t>
      </w:r>
      <w:r w:rsidR="00240D80">
        <w:t xml:space="preserve">and regulatory </w:t>
      </w:r>
      <w:r>
        <w:t xml:space="preserve">exceptions to the physician self-referral prohibitions.  The </w:t>
      </w:r>
      <w:r w:rsidR="00587875">
        <w:t>Stark</w:t>
      </w:r>
      <w:r>
        <w:t xml:space="preserve"> statutory </w:t>
      </w:r>
      <w:r w:rsidR="00240D80">
        <w:t xml:space="preserve">and regulatory </w:t>
      </w:r>
      <w:r>
        <w:t>exceptions include:</w:t>
      </w:r>
    </w:p>
    <w:p w:rsidR="003E654B" w:rsidRDefault="003E654B" w:rsidP="003E654B">
      <w:pPr>
        <w:tabs>
          <w:tab w:val="left" w:pos="-1440"/>
          <w:tab w:val="left" w:pos="-720"/>
        </w:tabs>
        <w:suppressAutoHyphens/>
      </w:pPr>
    </w:p>
    <w:p w:rsidR="00AD03DB" w:rsidRDefault="003E654B" w:rsidP="00A819F5">
      <w:pPr>
        <w:pStyle w:val="ListBullet"/>
      </w:pPr>
      <w:r>
        <w:lastRenderedPageBreak/>
        <w:t>Physicians’ services provided personally by, or under the personal supervision of, another physician in the same group practice as the referring physician.</w:t>
      </w:r>
      <w:r w:rsidR="00240D80" w:rsidRPr="00240D80">
        <w:rPr>
          <w:rStyle w:val="FootnoteReference"/>
        </w:rPr>
        <w:t xml:space="preserve"> </w:t>
      </w:r>
      <w:r w:rsidR="00240D80">
        <w:rPr>
          <w:rStyle w:val="FootnoteReference"/>
        </w:rPr>
        <w:footnoteReference w:id="11"/>
      </w:r>
    </w:p>
    <w:p w:rsidR="003E654B" w:rsidRDefault="003E654B" w:rsidP="003E654B">
      <w:pPr>
        <w:tabs>
          <w:tab w:val="left" w:pos="-1440"/>
          <w:tab w:val="left" w:pos="-720"/>
        </w:tabs>
        <w:suppressAutoHyphens/>
      </w:pPr>
    </w:p>
    <w:p w:rsidR="00AD03DB" w:rsidRDefault="003E654B" w:rsidP="00A819F5">
      <w:pPr>
        <w:pStyle w:val="ListBullet"/>
      </w:pPr>
      <w:r>
        <w:t>In-office ancillary services.</w:t>
      </w:r>
      <w:r w:rsidR="00240D80">
        <w:rPr>
          <w:rStyle w:val="FootnoteReference"/>
        </w:rPr>
        <w:footnoteReference w:id="12"/>
      </w:r>
      <w:r w:rsidR="006412F6">
        <w:t xml:space="preserve">  </w:t>
      </w:r>
    </w:p>
    <w:p w:rsidR="003E654B" w:rsidRDefault="003E654B" w:rsidP="003E654B">
      <w:pPr>
        <w:tabs>
          <w:tab w:val="left" w:pos="-1440"/>
          <w:tab w:val="left" w:pos="-720"/>
        </w:tabs>
        <w:suppressAutoHyphens/>
      </w:pPr>
    </w:p>
    <w:p w:rsidR="00AD03DB" w:rsidRDefault="00EC41A3" w:rsidP="00A819F5">
      <w:pPr>
        <w:pStyle w:val="ListBullet"/>
      </w:pPr>
      <w:r>
        <w:t>Services provided within certain prepaid health plans.</w:t>
      </w:r>
      <w:r w:rsidR="00240D80">
        <w:rPr>
          <w:rStyle w:val="FootnoteReference"/>
        </w:rPr>
        <w:footnoteReference w:id="13"/>
      </w:r>
    </w:p>
    <w:p w:rsidR="0038668E" w:rsidRDefault="0038668E" w:rsidP="0038668E"/>
    <w:p w:rsidR="003E654B" w:rsidRDefault="003E654B" w:rsidP="00A819F5">
      <w:pPr>
        <w:pStyle w:val="ListBullet"/>
      </w:pPr>
      <w:r>
        <w:t>Certain services provided within a faculty practice plan associated with a hospital, institution of higher education, or medical school with an approved medical residency program.</w:t>
      </w:r>
      <w:r w:rsidR="00240D80">
        <w:rPr>
          <w:rStyle w:val="FootnoteReference"/>
        </w:rPr>
        <w:footnoteReference w:id="14"/>
      </w:r>
    </w:p>
    <w:p w:rsidR="00A819F5" w:rsidRDefault="00A819F5" w:rsidP="003E654B">
      <w:pPr>
        <w:tabs>
          <w:tab w:val="left" w:pos="-1440"/>
          <w:tab w:val="left" w:pos="-720"/>
        </w:tabs>
        <w:suppressAutoHyphens/>
      </w:pPr>
    </w:p>
    <w:p w:rsidR="00AD03DB" w:rsidRDefault="00EC41A3" w:rsidP="00A819F5">
      <w:pPr>
        <w:pStyle w:val="ListBullet"/>
      </w:pPr>
      <w:r>
        <w:t>Implants furnished by an ambulatory surgery center.</w:t>
      </w:r>
      <w:r w:rsidR="00A022C8">
        <w:rPr>
          <w:rStyle w:val="FootnoteReference"/>
        </w:rPr>
        <w:footnoteReference w:id="15"/>
      </w:r>
    </w:p>
    <w:p w:rsidR="0038668E" w:rsidRDefault="0038668E" w:rsidP="0038668E">
      <w:pPr>
        <w:ind w:left="720"/>
      </w:pPr>
    </w:p>
    <w:p w:rsidR="0038668E" w:rsidRDefault="00EC41A3" w:rsidP="0038668E">
      <w:pPr>
        <w:pStyle w:val="ListParagraph"/>
        <w:numPr>
          <w:ilvl w:val="0"/>
          <w:numId w:val="3"/>
        </w:numPr>
      </w:pPr>
      <w:r>
        <w:t>EPO and other dialysis-related drugs.</w:t>
      </w:r>
      <w:r w:rsidR="00A022C8">
        <w:rPr>
          <w:rStyle w:val="FootnoteReference"/>
        </w:rPr>
        <w:footnoteReference w:id="16"/>
      </w:r>
    </w:p>
    <w:p w:rsidR="0038668E" w:rsidRDefault="0038668E" w:rsidP="00A819F5">
      <w:pPr>
        <w:pStyle w:val="ListBullet"/>
        <w:numPr>
          <w:ilvl w:val="0"/>
          <w:numId w:val="0"/>
        </w:numPr>
        <w:ind w:left="720"/>
      </w:pPr>
    </w:p>
    <w:p w:rsidR="00A819F5" w:rsidRDefault="00EC41A3" w:rsidP="00A819F5">
      <w:pPr>
        <w:pStyle w:val="ListBullet"/>
      </w:pPr>
      <w:r>
        <w:t>Preventive screening tests, immunization, and vaccines.</w:t>
      </w:r>
      <w:r w:rsidR="00A022C8">
        <w:rPr>
          <w:rStyle w:val="FootnoteReference"/>
        </w:rPr>
        <w:footnoteReference w:id="17"/>
      </w:r>
    </w:p>
    <w:p w:rsidR="0038668E" w:rsidRDefault="0038668E" w:rsidP="00A819F5">
      <w:pPr>
        <w:pStyle w:val="ListBullet"/>
        <w:numPr>
          <w:ilvl w:val="0"/>
          <w:numId w:val="0"/>
        </w:numPr>
        <w:ind w:left="720"/>
      </w:pPr>
    </w:p>
    <w:p w:rsidR="00A819F5" w:rsidRDefault="00EC41A3" w:rsidP="00A819F5">
      <w:pPr>
        <w:pStyle w:val="ListBullet"/>
      </w:pPr>
      <w:r>
        <w:t>Eyeglasses and contact lenses following cataract surgery.</w:t>
      </w:r>
      <w:r w:rsidR="00A022C8">
        <w:rPr>
          <w:rStyle w:val="FootnoteReference"/>
        </w:rPr>
        <w:footnoteReference w:id="18"/>
      </w:r>
    </w:p>
    <w:p w:rsidR="0038668E" w:rsidRDefault="0038668E" w:rsidP="00A819F5">
      <w:pPr>
        <w:pStyle w:val="ListBullet"/>
        <w:numPr>
          <w:ilvl w:val="0"/>
          <w:numId w:val="0"/>
        </w:numPr>
        <w:ind w:left="720"/>
      </w:pPr>
    </w:p>
    <w:p w:rsidR="00A819F5" w:rsidRDefault="00EC41A3" w:rsidP="00A819F5">
      <w:pPr>
        <w:pStyle w:val="ListBullet"/>
      </w:pPr>
      <w:r>
        <w:t>Intra-family rural referrals</w:t>
      </w:r>
      <w:r w:rsidR="003E073B">
        <w:t>.</w:t>
      </w:r>
      <w:r w:rsidR="00A022C8">
        <w:rPr>
          <w:rStyle w:val="FootnoteReference"/>
        </w:rPr>
        <w:footnoteReference w:id="19"/>
      </w:r>
    </w:p>
    <w:p w:rsidR="0038668E" w:rsidRDefault="0038668E" w:rsidP="0038668E">
      <w:pPr>
        <w:ind w:left="720"/>
      </w:pPr>
    </w:p>
    <w:p w:rsidR="00AD03DB" w:rsidRDefault="000026F6" w:rsidP="00A819F5">
      <w:pPr>
        <w:pStyle w:val="ListBullet"/>
      </w:pPr>
      <w:r>
        <w:t>Ownership or investment interests in c</w:t>
      </w:r>
      <w:r w:rsidR="003E654B">
        <w:t>ertain publicly traded investment securities and mutual funds.</w:t>
      </w:r>
      <w:r w:rsidR="003E073B">
        <w:rPr>
          <w:rStyle w:val="FootnoteReference"/>
        </w:rPr>
        <w:footnoteReference w:id="20"/>
      </w:r>
    </w:p>
    <w:p w:rsidR="003E654B" w:rsidRDefault="003E654B" w:rsidP="003E654B">
      <w:pPr>
        <w:tabs>
          <w:tab w:val="left" w:pos="-1440"/>
          <w:tab w:val="left" w:pos="-720"/>
        </w:tabs>
        <w:suppressAutoHyphens/>
      </w:pPr>
    </w:p>
    <w:p w:rsidR="00AD03DB" w:rsidRDefault="003E654B" w:rsidP="00A819F5">
      <w:pPr>
        <w:pStyle w:val="ListBullet"/>
      </w:pPr>
      <w:r>
        <w:t xml:space="preserve">Ownership </w:t>
      </w:r>
      <w:r w:rsidR="003E073B">
        <w:t xml:space="preserve">of investment </w:t>
      </w:r>
      <w:r>
        <w:t>interests in hospitals in Puerto Rico</w:t>
      </w:r>
      <w:r w:rsidR="00E11EA8">
        <w:t>,</w:t>
      </w:r>
      <w:r w:rsidR="00E11EA8">
        <w:rPr>
          <w:rStyle w:val="FootnoteReference"/>
        </w:rPr>
        <w:footnoteReference w:id="21"/>
      </w:r>
      <w:r w:rsidR="003E073B">
        <w:t xml:space="preserve"> rural providers</w:t>
      </w:r>
      <w:r w:rsidR="00274CED">
        <w:t xml:space="preserve"> who meet certain conditions</w:t>
      </w:r>
      <w:r w:rsidR="003E073B">
        <w:t>,</w:t>
      </w:r>
      <w:r w:rsidR="00E11EA8">
        <w:rPr>
          <w:rStyle w:val="FootnoteReference"/>
        </w:rPr>
        <w:footnoteReference w:id="22"/>
      </w:r>
      <w:r w:rsidR="003E073B">
        <w:t xml:space="preserve"> and hospitals outside of Puerto Rico if:</w:t>
      </w:r>
      <w:r w:rsidR="003E073B">
        <w:rPr>
          <w:rStyle w:val="FootnoteReference"/>
        </w:rPr>
        <w:footnoteReference w:id="23"/>
      </w:r>
    </w:p>
    <w:p w:rsidR="00A819F5" w:rsidRPr="00A819F5" w:rsidRDefault="00A819F5" w:rsidP="00A819F5"/>
    <w:p w:rsidR="0038668E" w:rsidRDefault="00274CED" w:rsidP="00A819F5">
      <w:pPr>
        <w:pStyle w:val="ListBullet"/>
        <w:numPr>
          <w:ilvl w:val="1"/>
          <w:numId w:val="2"/>
        </w:numPr>
      </w:pPr>
      <w:r>
        <w:t>The referring physician is authorized to perform services at the hospital;</w:t>
      </w:r>
    </w:p>
    <w:p w:rsidR="00A819F5" w:rsidRPr="00A819F5" w:rsidRDefault="00A819F5" w:rsidP="00A819F5"/>
    <w:p w:rsidR="0038668E" w:rsidRDefault="00274CED" w:rsidP="00E11EA8">
      <w:pPr>
        <w:pStyle w:val="ListParagraph"/>
        <w:numPr>
          <w:ilvl w:val="1"/>
          <w:numId w:val="2"/>
        </w:numPr>
      </w:pPr>
      <w:r>
        <w:t xml:space="preserve">The hospital was </w:t>
      </w:r>
      <w:r w:rsidR="0038668E" w:rsidRPr="0038668E">
        <w:rPr>
          <w:u w:val="single"/>
        </w:rPr>
        <w:t>not</w:t>
      </w:r>
      <w:r>
        <w:t xml:space="preserve"> a specialty hospital from December 8, 2005 through June 7, 2005;</w:t>
      </w:r>
    </w:p>
    <w:p w:rsidR="00E11EA8" w:rsidRDefault="00E11EA8" w:rsidP="00E11EA8">
      <w:pPr>
        <w:pStyle w:val="ListParagraph"/>
      </w:pPr>
    </w:p>
    <w:p w:rsidR="00E11EA8" w:rsidRDefault="00E11EA8" w:rsidP="00E11EA8">
      <w:pPr>
        <w:pStyle w:val="ListParagraph"/>
        <w:numPr>
          <w:ilvl w:val="1"/>
          <w:numId w:val="2"/>
        </w:numPr>
        <w:jc w:val="left"/>
      </w:pPr>
      <w:r>
        <w:lastRenderedPageBreak/>
        <w:t xml:space="preserve">The ownership or investment  is in the whole of a hospital, not merely a subdivision; and </w:t>
      </w:r>
    </w:p>
    <w:p w:rsidR="00E11EA8" w:rsidRDefault="00E11EA8" w:rsidP="00E11EA8">
      <w:pPr>
        <w:pStyle w:val="ListParagraph"/>
      </w:pPr>
    </w:p>
    <w:p w:rsidR="00E11EA8" w:rsidRDefault="00E11EA8" w:rsidP="00E11EA8">
      <w:pPr>
        <w:pStyle w:val="ListParagraph"/>
        <w:numPr>
          <w:ilvl w:val="1"/>
          <w:numId w:val="2"/>
        </w:numPr>
      </w:pPr>
      <w:r>
        <w:t>The hospital met certain statutory requirements by September 22, 2012.</w:t>
      </w:r>
      <w:r>
        <w:rPr>
          <w:rStyle w:val="FootnoteReference"/>
        </w:rPr>
        <w:footnoteReference w:id="24"/>
      </w:r>
    </w:p>
    <w:p w:rsidR="00E11EA8" w:rsidRDefault="00E11EA8" w:rsidP="00E11EA8">
      <w:pPr>
        <w:pStyle w:val="ListParagraph"/>
      </w:pPr>
    </w:p>
    <w:p w:rsidR="00AD03DB" w:rsidRDefault="003E654B" w:rsidP="00A819F5">
      <w:pPr>
        <w:pStyle w:val="ListBullet"/>
      </w:pPr>
      <w:r>
        <w:t>Payments made for certain office space</w:t>
      </w:r>
      <w:r w:rsidR="00AD03DB">
        <w:rPr>
          <w:rStyle w:val="FootnoteReference"/>
        </w:rPr>
        <w:footnoteReference w:id="25"/>
      </w:r>
      <w:r>
        <w:t xml:space="preserve"> and equipment rentals.</w:t>
      </w:r>
      <w:r w:rsidR="00AD03DB">
        <w:rPr>
          <w:rStyle w:val="FootnoteReference"/>
        </w:rPr>
        <w:footnoteReference w:id="26"/>
      </w:r>
    </w:p>
    <w:p w:rsidR="003E654B" w:rsidRDefault="003E654B" w:rsidP="003E654B">
      <w:pPr>
        <w:tabs>
          <w:tab w:val="left" w:pos="-1440"/>
          <w:tab w:val="left" w:pos="-720"/>
        </w:tabs>
        <w:suppressAutoHyphens/>
      </w:pPr>
    </w:p>
    <w:p w:rsidR="00AD03DB" w:rsidRDefault="003E654B" w:rsidP="00A819F5">
      <w:pPr>
        <w:pStyle w:val="ListBullet"/>
      </w:pPr>
      <w:r>
        <w:t xml:space="preserve">Payments made by an employer to an employee who has a true </w:t>
      </w:r>
      <w:r w:rsidR="00EC41A3">
        <w:t xml:space="preserve">(“bona fide”) </w:t>
      </w:r>
      <w:r>
        <w:t>employment arrangement with the employer.</w:t>
      </w:r>
      <w:r w:rsidR="003C1845">
        <w:rPr>
          <w:rStyle w:val="FootnoteReference"/>
        </w:rPr>
        <w:footnoteReference w:id="27"/>
      </w:r>
    </w:p>
    <w:p w:rsidR="003E654B" w:rsidRDefault="003E654B" w:rsidP="003E654B">
      <w:pPr>
        <w:tabs>
          <w:tab w:val="left" w:pos="-1440"/>
          <w:tab w:val="left" w:pos="-720"/>
        </w:tabs>
        <w:suppressAutoHyphens/>
      </w:pPr>
    </w:p>
    <w:p w:rsidR="00AD03DB" w:rsidRDefault="003E654B" w:rsidP="00A819F5">
      <w:pPr>
        <w:pStyle w:val="ListBullet"/>
      </w:pPr>
      <w:r>
        <w:t>Payments made under certain personal service arrangements.</w:t>
      </w:r>
      <w:r w:rsidR="003C1845">
        <w:rPr>
          <w:rStyle w:val="FootnoteReference"/>
        </w:rPr>
        <w:footnoteReference w:id="28"/>
      </w:r>
    </w:p>
    <w:p w:rsidR="003E654B" w:rsidRDefault="003E654B" w:rsidP="003E654B">
      <w:pPr>
        <w:tabs>
          <w:tab w:val="left" w:pos="-1440"/>
          <w:tab w:val="left" w:pos="-720"/>
        </w:tabs>
        <w:suppressAutoHyphens/>
      </w:pPr>
    </w:p>
    <w:p w:rsidR="00AD03DB" w:rsidRDefault="003E654B" w:rsidP="00A819F5">
      <w:pPr>
        <w:pStyle w:val="ListBullet"/>
      </w:pPr>
      <w:r>
        <w:t>Payments made under certain physician incentive plans, involving such things as withholds, capitation, and bonuses, which may have the effect of reducing or limiting services a physician provides to enrolled individuals.</w:t>
      </w:r>
      <w:r w:rsidR="003C1845">
        <w:rPr>
          <w:rStyle w:val="FootnoteReference"/>
        </w:rPr>
        <w:footnoteReference w:id="29"/>
      </w:r>
    </w:p>
    <w:p w:rsidR="003E654B" w:rsidRDefault="003E654B" w:rsidP="003E654B">
      <w:pPr>
        <w:tabs>
          <w:tab w:val="left" w:pos="-1440"/>
          <w:tab w:val="left" w:pos="-720"/>
        </w:tabs>
        <w:suppressAutoHyphens/>
      </w:pPr>
    </w:p>
    <w:p w:rsidR="003A062C" w:rsidRDefault="003A062C" w:rsidP="00A819F5">
      <w:pPr>
        <w:pStyle w:val="ListBullet"/>
      </w:pPr>
      <w:r>
        <w:t>Remuneration by hospitals which is unrelated to the provision of designated health services.</w:t>
      </w:r>
      <w:r>
        <w:rPr>
          <w:rStyle w:val="FootnoteReference"/>
        </w:rPr>
        <w:footnoteReference w:id="30"/>
      </w:r>
    </w:p>
    <w:p w:rsidR="0038668E" w:rsidRDefault="0038668E" w:rsidP="0038668E"/>
    <w:p w:rsidR="00A819F5" w:rsidRDefault="00AF5EC7" w:rsidP="00A819F5">
      <w:pPr>
        <w:pStyle w:val="ListBullet"/>
      </w:pPr>
      <w:r>
        <w:t>Certain hospital physician recruitment incentives.</w:t>
      </w:r>
      <w:r>
        <w:rPr>
          <w:rStyle w:val="FootnoteReference"/>
        </w:rPr>
        <w:footnoteReference w:id="31"/>
      </w:r>
    </w:p>
    <w:p w:rsidR="0038668E" w:rsidRDefault="0038668E" w:rsidP="0038668E"/>
    <w:p w:rsidR="00A819F5" w:rsidRDefault="00AF5EC7" w:rsidP="00A819F5">
      <w:pPr>
        <w:pStyle w:val="ListBullet"/>
      </w:pPr>
      <w:r>
        <w:t>Payments made in connection with isolated financial transactions, such as a one-time sale of property or practice.</w:t>
      </w:r>
      <w:r>
        <w:rPr>
          <w:rStyle w:val="FootnoteReference"/>
        </w:rPr>
        <w:footnoteReference w:id="32"/>
      </w:r>
    </w:p>
    <w:p w:rsidR="003E654B" w:rsidRDefault="003E654B" w:rsidP="003E654B">
      <w:pPr>
        <w:tabs>
          <w:tab w:val="left" w:pos="-1440"/>
          <w:tab w:val="left" w:pos="-720"/>
        </w:tabs>
        <w:suppressAutoHyphens/>
      </w:pPr>
    </w:p>
    <w:p w:rsidR="00AD03DB" w:rsidRDefault="003E654B" w:rsidP="00A819F5">
      <w:pPr>
        <w:pStyle w:val="ListBullet"/>
      </w:pPr>
      <w:r>
        <w:t>Certain group practice arrangements with a hospital which were in effect before December 19, 1989.</w:t>
      </w:r>
      <w:r w:rsidR="003A062C">
        <w:rPr>
          <w:rStyle w:val="FootnoteReference"/>
        </w:rPr>
        <w:footnoteReference w:id="33"/>
      </w:r>
    </w:p>
    <w:p w:rsidR="003E654B" w:rsidRDefault="003E654B" w:rsidP="003E654B">
      <w:pPr>
        <w:tabs>
          <w:tab w:val="left" w:pos="-1440"/>
          <w:tab w:val="left" w:pos="-720"/>
        </w:tabs>
        <w:suppressAutoHyphens/>
      </w:pPr>
    </w:p>
    <w:p w:rsidR="00AD03DB" w:rsidRDefault="003E654B" w:rsidP="00A819F5">
      <w:pPr>
        <w:pStyle w:val="ListBullet"/>
      </w:pPr>
      <w:r>
        <w:t>Payments by a physician for items or services furnished at a price consistent with fair market value.</w:t>
      </w:r>
      <w:r w:rsidR="003A062C">
        <w:rPr>
          <w:rStyle w:val="FootnoteReference"/>
        </w:rPr>
        <w:footnoteReference w:id="34"/>
      </w:r>
    </w:p>
    <w:p w:rsidR="0038668E" w:rsidRDefault="0038668E" w:rsidP="0038668E">
      <w:pPr>
        <w:ind w:left="720"/>
      </w:pPr>
    </w:p>
    <w:p w:rsidR="0038668E" w:rsidRDefault="00522032" w:rsidP="0038668E">
      <w:pPr>
        <w:pStyle w:val="ListParagraph"/>
        <w:numPr>
          <w:ilvl w:val="0"/>
          <w:numId w:val="4"/>
        </w:numPr>
      </w:pPr>
      <w:r>
        <w:t>Bona fide charitable donations made by a physician (or immediate family member).</w:t>
      </w:r>
      <w:r>
        <w:rPr>
          <w:rStyle w:val="FootnoteReference"/>
        </w:rPr>
        <w:footnoteReference w:id="35"/>
      </w:r>
    </w:p>
    <w:p w:rsidR="0038668E" w:rsidRDefault="0038668E" w:rsidP="0038668E">
      <w:pPr>
        <w:ind w:left="720"/>
      </w:pPr>
    </w:p>
    <w:p w:rsidR="0038668E" w:rsidRDefault="00146B0B" w:rsidP="0038668E">
      <w:pPr>
        <w:pStyle w:val="ListParagraph"/>
        <w:numPr>
          <w:ilvl w:val="0"/>
          <w:numId w:val="4"/>
        </w:numPr>
      </w:pPr>
      <w:r>
        <w:t>N</w:t>
      </w:r>
      <w:r w:rsidR="00522032">
        <w:t>onmonetary compensation</w:t>
      </w:r>
      <w:r>
        <w:t xml:space="preserve"> up to $300 per calendar year</w:t>
      </w:r>
      <w:r w:rsidR="00522032">
        <w:t>.</w:t>
      </w:r>
      <w:r w:rsidR="00522032">
        <w:rPr>
          <w:rStyle w:val="FootnoteReference"/>
        </w:rPr>
        <w:footnoteReference w:id="36"/>
      </w:r>
    </w:p>
    <w:p w:rsidR="0038668E" w:rsidRDefault="0038668E" w:rsidP="0038668E">
      <w:pPr>
        <w:pStyle w:val="ListParagraph"/>
      </w:pPr>
    </w:p>
    <w:p w:rsidR="0038668E" w:rsidRDefault="00522032" w:rsidP="0038668E">
      <w:pPr>
        <w:pStyle w:val="ListParagraph"/>
        <w:numPr>
          <w:ilvl w:val="0"/>
          <w:numId w:val="4"/>
        </w:numPr>
      </w:pPr>
      <w:r>
        <w:t>Fair market compensation.</w:t>
      </w:r>
      <w:r>
        <w:rPr>
          <w:rStyle w:val="FootnoteReference"/>
        </w:rPr>
        <w:footnoteReference w:id="37"/>
      </w:r>
    </w:p>
    <w:p w:rsidR="0038668E" w:rsidRDefault="0038668E" w:rsidP="0038668E">
      <w:pPr>
        <w:pStyle w:val="ListParagraph"/>
      </w:pPr>
    </w:p>
    <w:p w:rsidR="0038668E" w:rsidRDefault="00146B0B" w:rsidP="00A819F5">
      <w:pPr>
        <w:pStyle w:val="ListBullet"/>
      </w:pPr>
      <w:r>
        <w:t xml:space="preserve">Medical Staff non-cash incidental benefits </w:t>
      </w:r>
      <w:r w:rsidR="00522032">
        <w:t xml:space="preserve">from a hospital to a member of the Medical Staff </w:t>
      </w:r>
      <w:r w:rsidR="0027204B">
        <w:t>used on the hospital campus (such as low</w:t>
      </w:r>
      <w:r>
        <w:t>-</w:t>
      </w:r>
      <w:r w:rsidR="0027204B">
        <w:t>cost meals for physicians) or used away from campus to access hospital information (such as pagers or internet access).</w:t>
      </w:r>
      <w:r w:rsidR="0027204B">
        <w:rPr>
          <w:rStyle w:val="FootnoteReference"/>
        </w:rPr>
        <w:footnoteReference w:id="38"/>
      </w:r>
    </w:p>
    <w:p w:rsidR="0038668E" w:rsidRDefault="0038668E" w:rsidP="0038668E">
      <w:pPr>
        <w:pStyle w:val="ListParagraph"/>
      </w:pPr>
    </w:p>
    <w:p w:rsidR="0038668E" w:rsidRDefault="00146B0B" w:rsidP="0038668E">
      <w:pPr>
        <w:pStyle w:val="ListParagraph"/>
        <w:numPr>
          <w:ilvl w:val="0"/>
          <w:numId w:val="4"/>
        </w:numPr>
      </w:pPr>
      <w:r>
        <w:t>R</w:t>
      </w:r>
      <w:r w:rsidR="0027204B">
        <w:t>isk-sharing arrangements between a physician and a managed care organization (MCO) or independent physician organization (IPO) for services provided to enrollees of a health plan</w:t>
      </w:r>
      <w:r>
        <w:t>.</w:t>
      </w:r>
      <w:r w:rsidR="00240D80">
        <w:rPr>
          <w:rStyle w:val="FootnoteReference"/>
        </w:rPr>
        <w:footnoteReference w:id="39"/>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 xml:space="preserve">Compliance </w:t>
      </w:r>
      <w:r w:rsidR="0027204B">
        <w:t xml:space="preserve">training </w:t>
      </w:r>
      <w:r>
        <w:t>for physicians (or to the physicians’ immediate family member or office staff).</w:t>
      </w:r>
      <w:r w:rsidR="0027204B">
        <w:rPr>
          <w:rStyle w:val="FootnoteReference"/>
        </w:rPr>
        <w:footnoteReference w:id="40"/>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C</w:t>
      </w:r>
      <w:r w:rsidR="0027204B">
        <w:t>ertain indirect compensation arrangements</w:t>
      </w:r>
      <w:r>
        <w:t>.</w:t>
      </w:r>
      <w:r w:rsidR="0027204B">
        <w:rPr>
          <w:rStyle w:val="FootnoteReference"/>
        </w:rPr>
        <w:footnoteReference w:id="41"/>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R</w:t>
      </w:r>
      <w:r w:rsidR="0027204B">
        <w:t>eferral services</w:t>
      </w:r>
      <w:r>
        <w:t>.</w:t>
      </w:r>
      <w:r w:rsidR="0027204B">
        <w:rPr>
          <w:rStyle w:val="FootnoteReference"/>
        </w:rPr>
        <w:footnoteReference w:id="42"/>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O</w:t>
      </w:r>
      <w:r w:rsidR="0027204B">
        <w:t>bstetrical malpractice insurance subsidies</w:t>
      </w:r>
      <w:r>
        <w:t>.</w:t>
      </w:r>
      <w:r w:rsidR="0027204B">
        <w:rPr>
          <w:rStyle w:val="FootnoteReference"/>
        </w:rPr>
        <w:footnoteReference w:id="43"/>
      </w:r>
    </w:p>
    <w:p w:rsidR="0038668E" w:rsidRDefault="0038668E" w:rsidP="0038668E">
      <w:pPr>
        <w:pStyle w:val="ListParagraph"/>
      </w:pPr>
    </w:p>
    <w:p w:rsidR="0038668E" w:rsidRDefault="00146B0B" w:rsidP="0038668E">
      <w:pPr>
        <w:pStyle w:val="ListParagraph"/>
        <w:numPr>
          <w:ilvl w:val="0"/>
          <w:numId w:val="4"/>
        </w:numPr>
      </w:pPr>
      <w:r>
        <w:t>Professional courtesy to physician or physician family members under certain circumstances.</w:t>
      </w:r>
      <w:r w:rsidR="00750573">
        <w:rPr>
          <w:rStyle w:val="FootnoteReference"/>
        </w:rPr>
        <w:footnoteReference w:id="44"/>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R</w:t>
      </w:r>
      <w:r w:rsidR="00750573">
        <w:t>etention payments in underserved areas</w:t>
      </w:r>
      <w:r>
        <w:t>.</w:t>
      </w:r>
      <w:r w:rsidR="00750573">
        <w:rPr>
          <w:rStyle w:val="FootnoteReference"/>
        </w:rPr>
        <w:footnoteReference w:id="45"/>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A</w:t>
      </w:r>
      <w:r w:rsidR="00750573">
        <w:t>ccess to community-wide information systems</w:t>
      </w:r>
      <w:r>
        <w:t>.</w:t>
      </w:r>
      <w:r w:rsidR="00750573">
        <w:rPr>
          <w:rStyle w:val="FootnoteReference"/>
        </w:rPr>
        <w:footnoteReference w:id="46"/>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E</w:t>
      </w:r>
      <w:r w:rsidR="00750573">
        <w:t>lectronic prescribing items and services</w:t>
      </w:r>
      <w:r>
        <w:t>.</w:t>
      </w:r>
      <w:r w:rsidR="00750573">
        <w:rPr>
          <w:rStyle w:val="FootnoteReference"/>
        </w:rPr>
        <w:footnoteReference w:id="47"/>
      </w:r>
      <w:r w:rsidR="00750573">
        <w:t xml:space="preserve"> </w:t>
      </w:r>
    </w:p>
    <w:p w:rsidR="0038668E" w:rsidRDefault="0038668E" w:rsidP="0038668E">
      <w:pPr>
        <w:pStyle w:val="ListParagraph"/>
      </w:pPr>
    </w:p>
    <w:p w:rsidR="0038668E" w:rsidRDefault="00146B0B" w:rsidP="0038668E">
      <w:pPr>
        <w:numPr>
          <w:ilvl w:val="0"/>
          <w:numId w:val="4"/>
        </w:numPr>
      </w:pPr>
      <w:r>
        <w:t>Certain arrangements involving temporary non-compliance.</w:t>
      </w:r>
      <w:r>
        <w:rPr>
          <w:rStyle w:val="FootnoteReference"/>
        </w:rPr>
        <w:footnoteReference w:id="48"/>
      </w:r>
      <w:r>
        <w:t xml:space="preserve"> </w:t>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E</w:t>
      </w:r>
      <w:r w:rsidR="00750573">
        <w:t>lectronic health records items and services.</w:t>
      </w:r>
      <w:r w:rsidR="00750573">
        <w:rPr>
          <w:rStyle w:val="FootnoteReference"/>
        </w:rPr>
        <w:footnoteReference w:id="49"/>
      </w:r>
      <w:r w:rsidR="00B22FDF">
        <w:t xml:space="preserve"> </w:t>
      </w:r>
    </w:p>
    <w:p w:rsidR="003E654B" w:rsidRDefault="003E654B" w:rsidP="003E654B">
      <w:pPr>
        <w:tabs>
          <w:tab w:val="left" w:pos="-1440"/>
          <w:tab w:val="left" w:pos="-720"/>
        </w:tabs>
        <w:suppressAutoHyphens/>
      </w:pPr>
    </w:p>
    <w:p w:rsidR="00AD03DB" w:rsidRDefault="003E654B" w:rsidP="00A819F5">
      <w:pPr>
        <w:pStyle w:val="ListBullet"/>
      </w:pPr>
      <w:r>
        <w:lastRenderedPageBreak/>
        <w:t>Other financial relationships which the Department of Health and Human Services (DHHS) determines do not pose a risk of program or patient abuse and specifies in regulations.</w:t>
      </w:r>
      <w:r w:rsidR="003A062C">
        <w:rPr>
          <w:rStyle w:val="FootnoteReference"/>
        </w:rPr>
        <w:footnoteReference w:id="50"/>
      </w:r>
    </w:p>
    <w:p w:rsidR="003E654B" w:rsidRDefault="003E654B" w:rsidP="003E654B">
      <w:pPr>
        <w:tabs>
          <w:tab w:val="left" w:pos="-1440"/>
          <w:tab w:val="left" w:pos="-720"/>
        </w:tabs>
        <w:suppressAutoHyphens/>
      </w:pPr>
    </w:p>
    <w:p w:rsidR="003E654B" w:rsidRDefault="00E11EA8" w:rsidP="003E654B">
      <w:pPr>
        <w:tabs>
          <w:tab w:val="left" w:pos="-1440"/>
          <w:tab w:val="left" w:pos="-720"/>
        </w:tabs>
        <w:suppressAutoHyphens/>
      </w:pPr>
      <w:r>
        <w:tab/>
      </w:r>
      <w:r w:rsidR="003E654B">
        <w:t xml:space="preserve">Most of the </w:t>
      </w:r>
      <w:r w:rsidR="00587875">
        <w:t>Stark</w:t>
      </w:r>
      <w:r w:rsidR="003E654B">
        <w:t xml:space="preserve"> statutory </w:t>
      </w:r>
      <w:r w:rsidR="000026F6">
        <w:t xml:space="preserve">and regulatory </w:t>
      </w:r>
      <w:r w:rsidR="003E654B">
        <w:t xml:space="preserve">exceptions contain multiple enumerated requirements which must be met in order to come within the exception.  Under </w:t>
      </w:r>
      <w:r w:rsidR="00587875">
        <w:t>Stark</w:t>
      </w:r>
      <w:r w:rsidR="003E654B">
        <w:t xml:space="preserve">, physician referrals of Medicare and Medicaid patients for designated health services to an entity with whom the physician, or an immediate family member of the physician, has a financial relationship are absolutely prohibited unless the ownership or investment interest or the compensation arrangement squarely fits within all of the enumerated requirements of one of the </w:t>
      </w:r>
      <w:r w:rsidR="00587875">
        <w:t>Stark</w:t>
      </w:r>
      <w:r w:rsidR="003E654B">
        <w:t xml:space="preserve"> exceptions.</w:t>
      </w:r>
      <w:r w:rsidR="00750573">
        <w:rPr>
          <w:rStyle w:val="FootnoteReference"/>
        </w:rPr>
        <w:footnoteReference w:id="51"/>
      </w:r>
    </w:p>
    <w:p w:rsidR="003E654B" w:rsidRDefault="003E654B" w:rsidP="003E654B">
      <w:pPr>
        <w:tabs>
          <w:tab w:val="left" w:pos="-1440"/>
          <w:tab w:val="left" w:pos="-720"/>
        </w:tabs>
        <w:suppressAutoHyphens/>
      </w:pPr>
    </w:p>
    <w:p w:rsidR="003E654B" w:rsidRDefault="003E654B" w:rsidP="003E654B">
      <w:pPr>
        <w:pStyle w:val="Heading2"/>
      </w:pPr>
      <w:r>
        <w:tab/>
        <w:t xml:space="preserve">What are the penalties for violating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keepNext/>
        <w:keepLines/>
        <w:widowControl w:val="0"/>
        <w:tabs>
          <w:tab w:val="left" w:pos="-1440"/>
          <w:tab w:val="left" w:pos="-720"/>
        </w:tabs>
        <w:suppressAutoHyphens/>
      </w:pPr>
      <w:r>
        <w:tab/>
        <w:t xml:space="preserve">The sanctions for violations of the </w:t>
      </w:r>
      <w:r w:rsidR="00587875">
        <w:t>Stark</w:t>
      </w:r>
      <w:r>
        <w:t xml:space="preserve"> laws include:</w:t>
      </w:r>
    </w:p>
    <w:p w:rsidR="003E654B" w:rsidRDefault="003E654B" w:rsidP="003E654B">
      <w:pPr>
        <w:keepNext/>
        <w:keepLines/>
        <w:widowControl w:val="0"/>
        <w:tabs>
          <w:tab w:val="left" w:pos="-1440"/>
          <w:tab w:val="left" w:pos="-720"/>
        </w:tabs>
        <w:suppressAutoHyphens/>
      </w:pPr>
    </w:p>
    <w:p w:rsidR="001D0921" w:rsidRDefault="001D0921" w:rsidP="00A819F5">
      <w:pPr>
        <w:pStyle w:val="ListBullet"/>
      </w:pPr>
      <w:r>
        <w:t>No payment for a designated health service furnished pursuant to a prohibited referral.</w:t>
      </w:r>
      <w:r>
        <w:rPr>
          <w:rStyle w:val="FootnoteReference"/>
        </w:rPr>
        <w:footnoteReference w:id="52"/>
      </w:r>
    </w:p>
    <w:p w:rsidR="0038668E" w:rsidRDefault="0038668E" w:rsidP="0038668E"/>
    <w:p w:rsidR="00A819F5" w:rsidRDefault="001D0921" w:rsidP="00A819F5">
      <w:pPr>
        <w:pStyle w:val="ListBullet"/>
      </w:pPr>
      <w:r>
        <w:t>Repayment of all amounts improperly billed.</w:t>
      </w:r>
      <w:r>
        <w:rPr>
          <w:rStyle w:val="FootnoteReference"/>
        </w:rPr>
        <w:footnoteReference w:id="53"/>
      </w:r>
    </w:p>
    <w:p w:rsidR="0038668E" w:rsidRDefault="0038668E" w:rsidP="00E11EA8">
      <w:pPr>
        <w:pStyle w:val="ListBullet"/>
        <w:numPr>
          <w:ilvl w:val="0"/>
          <w:numId w:val="0"/>
        </w:numPr>
        <w:ind w:left="720"/>
      </w:pPr>
    </w:p>
    <w:p w:rsidR="00A819F5" w:rsidRDefault="003E654B" w:rsidP="00A819F5">
      <w:pPr>
        <w:pStyle w:val="ListBullet"/>
      </w:pPr>
      <w:r>
        <w:t>Civil money penalties of up to $15,000 per each improperly billed service</w:t>
      </w:r>
      <w:r w:rsidR="001D0921">
        <w:t>.</w:t>
      </w:r>
      <w:r w:rsidR="001D0921">
        <w:rPr>
          <w:rStyle w:val="FootnoteReference"/>
        </w:rPr>
        <w:footnoteReference w:id="54"/>
      </w:r>
    </w:p>
    <w:p w:rsidR="003E654B" w:rsidRDefault="003E654B" w:rsidP="003E654B">
      <w:pPr>
        <w:tabs>
          <w:tab w:val="left" w:pos="-1440"/>
          <w:tab w:val="left" w:pos="-720"/>
        </w:tabs>
        <w:suppressAutoHyphens/>
      </w:pPr>
    </w:p>
    <w:p w:rsidR="00AD03DB" w:rsidRDefault="003E654B" w:rsidP="00A819F5">
      <w:pPr>
        <w:pStyle w:val="ListBullet"/>
      </w:pPr>
      <w:r>
        <w:t>Civil money penalties of up to $100,000 against any physician or entity that enters into any circumvention arrangement or scheme which the physician or entity knew or should have known has a principal purpose of assuring referrals.</w:t>
      </w:r>
      <w:r w:rsidR="001D0921">
        <w:rPr>
          <w:rStyle w:val="FootnoteReference"/>
        </w:rPr>
        <w:footnoteReference w:id="55"/>
      </w:r>
    </w:p>
    <w:p w:rsidR="003E654B" w:rsidRDefault="003E654B" w:rsidP="003E654B">
      <w:pPr>
        <w:tabs>
          <w:tab w:val="left" w:pos="-1440"/>
          <w:tab w:val="left" w:pos="-720"/>
        </w:tabs>
        <w:suppressAutoHyphens/>
      </w:pPr>
    </w:p>
    <w:p w:rsidR="00AD03DB" w:rsidRDefault="003E654B" w:rsidP="00A819F5">
      <w:pPr>
        <w:pStyle w:val="ListBullet"/>
      </w:pPr>
      <w:r>
        <w:t>Civil money penalties of up to $10,000 each day for which a required report has not been made.</w:t>
      </w:r>
      <w:r w:rsidR="001D0921">
        <w:rPr>
          <w:rStyle w:val="FootnoteReference"/>
        </w:rPr>
        <w:footnoteReference w:id="56"/>
      </w:r>
    </w:p>
    <w:p w:rsidR="003E654B" w:rsidRDefault="003E654B" w:rsidP="003E654B">
      <w:pPr>
        <w:tabs>
          <w:tab w:val="left" w:pos="-1440"/>
          <w:tab w:val="left" w:pos="-720"/>
        </w:tabs>
        <w:suppressAutoHyphens/>
      </w:pPr>
    </w:p>
    <w:p w:rsidR="00AD03DB" w:rsidRDefault="003E654B" w:rsidP="00A819F5">
      <w:pPr>
        <w:pStyle w:val="ListBullet"/>
      </w:pPr>
      <w:r>
        <w:t>Exclusion from participation in Medicare or Medicaid.</w:t>
      </w:r>
      <w:r w:rsidR="001D0921">
        <w:rPr>
          <w:rStyle w:val="FootnoteReference"/>
        </w:rPr>
        <w:footnoteReference w:id="57"/>
      </w:r>
    </w:p>
    <w:p w:rsidR="003E654B" w:rsidRDefault="003E654B" w:rsidP="003E654B">
      <w:pPr>
        <w:tabs>
          <w:tab w:val="left" w:pos="-1440"/>
          <w:tab w:val="left" w:pos="-720"/>
        </w:tabs>
        <w:suppressAutoHyphens/>
      </w:pPr>
    </w:p>
    <w:p w:rsidR="00AD03DB" w:rsidRDefault="003E654B" w:rsidP="00A819F5">
      <w:pPr>
        <w:pStyle w:val="ListBullet"/>
      </w:pPr>
      <w:r>
        <w:t>Assessment of not more than three times the amount claimed for each item or service improperly claimed.</w:t>
      </w:r>
      <w:r w:rsidR="001D0921">
        <w:rPr>
          <w:rStyle w:val="FootnoteReference"/>
        </w:rPr>
        <w:footnoteReference w:id="58"/>
      </w:r>
    </w:p>
    <w:p w:rsidR="003E654B" w:rsidRDefault="003E654B" w:rsidP="003E654B">
      <w:pPr>
        <w:tabs>
          <w:tab w:val="left" w:pos="-1440"/>
          <w:tab w:val="left" w:pos="-720"/>
        </w:tabs>
        <w:suppressAutoHyphens/>
      </w:pPr>
    </w:p>
    <w:p w:rsidR="003E654B" w:rsidRDefault="003E654B" w:rsidP="003E654B">
      <w:pPr>
        <w:pStyle w:val="Heading2"/>
      </w:pPr>
      <w:r>
        <w:lastRenderedPageBreak/>
        <w:t xml:space="preserve">Does compliance with the </w:t>
      </w:r>
      <w:r w:rsidR="00587875">
        <w:t>Stark</w:t>
      </w:r>
      <w:r>
        <w:t xml:space="preserve"> laws ensure compliance with the Medicare-Medicaid anti-kickback law or Washington’s anti-rebate law?</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t xml:space="preserve">No.  </w:t>
      </w:r>
      <w:r>
        <w:rPr>
          <w:u w:val="single"/>
        </w:rPr>
        <w:t>See</w:t>
      </w:r>
      <w:r>
        <w:t xml:space="preserve"> </w:t>
      </w:r>
      <w:r>
        <w:rPr>
          <w:b/>
        </w:rPr>
        <w:t>MEDICARE-MEDICAID FRAUD AND ABUSE AND ANTI-KICKBACK PROVISIONS;</w:t>
      </w:r>
      <w:r>
        <w:t xml:space="preserve"> and </w:t>
      </w:r>
      <w:r>
        <w:rPr>
          <w:b/>
        </w:rPr>
        <w:t>REBATES</w:t>
      </w:r>
      <w:r>
        <w:t>.</w:t>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rPr>
          <w:b/>
        </w:rPr>
        <w:t xml:space="preserve">Where can physicians find more information concerning the </w:t>
      </w:r>
      <w:r w:rsidR="00587875">
        <w:rPr>
          <w:b/>
        </w:rPr>
        <w:t>Stark</w:t>
      </w:r>
      <w:r>
        <w:rPr>
          <w:b/>
        </w:rPr>
        <w:t xml:space="preserve"> laws?</w:t>
      </w:r>
    </w:p>
    <w:p w:rsidR="003E654B" w:rsidRDefault="003E654B" w:rsidP="003E654B">
      <w:pPr>
        <w:tabs>
          <w:tab w:val="left" w:pos="-1440"/>
          <w:tab w:val="left" w:pos="-720"/>
        </w:tabs>
        <w:suppressAutoHyphens/>
      </w:pPr>
    </w:p>
    <w:p w:rsidR="002F3A57" w:rsidRDefault="003E654B" w:rsidP="003E654B">
      <w:r>
        <w:tab/>
        <w:t xml:space="preserve">The federal government website related to physician self-referral, under the Centers for Medicare &amp; Medicaid Services is: </w:t>
      </w:r>
      <w:hyperlink r:id="rId8" w:history="1">
        <w:r>
          <w:rPr>
            <w:rStyle w:val="Hyperlink"/>
          </w:rPr>
          <w:t>http://www.cms.hhs.gov/PhysicianSelfReferral</w:t>
        </w:r>
      </w:hyperlink>
      <w:r>
        <w:t>.</w:t>
      </w:r>
    </w:p>
    <w:p w:rsidR="003E654B" w:rsidRDefault="003E654B" w:rsidP="003E654B"/>
    <w:p w:rsidR="003E654B" w:rsidRDefault="003E654B" w:rsidP="003E654B"/>
    <w:sectPr w:rsidR="003E654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9F5" w:rsidRDefault="00A819F5" w:rsidP="00253906">
      <w:r>
        <w:separator/>
      </w:r>
    </w:p>
  </w:endnote>
  <w:endnote w:type="continuationSeparator" w:id="0">
    <w:p w:rsidR="00A819F5" w:rsidRDefault="00A819F5" w:rsidP="002539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9F5" w:rsidRDefault="00A819F5" w:rsidP="00253906">
      <w:r>
        <w:separator/>
      </w:r>
    </w:p>
  </w:footnote>
  <w:footnote w:type="continuationSeparator" w:id="0">
    <w:p w:rsidR="00A819F5" w:rsidRDefault="00A819F5" w:rsidP="00253906">
      <w:r>
        <w:continuationSeparator/>
      </w:r>
    </w:p>
  </w:footnote>
  <w:footnote w:id="1">
    <w:p w:rsidR="00A819F5" w:rsidRDefault="00A819F5">
      <w:pPr>
        <w:pStyle w:val="FootnoteText"/>
      </w:pPr>
      <w:r>
        <w:rPr>
          <w:rStyle w:val="FootnoteReference"/>
        </w:rPr>
        <w:footnoteRef/>
      </w:r>
      <w:r>
        <w:t xml:space="preserve"> </w:t>
      </w:r>
      <w:proofErr w:type="gramStart"/>
      <w:r>
        <w:t>Ethics in Patient Referral Act of 1989, Omnibus Budget Reconciliation Act of 1989 (OBRA 1989), Pub.</w:t>
      </w:r>
      <w:proofErr w:type="gramEnd"/>
      <w:r>
        <w:t xml:space="preserve"> L. No. 101-239, </w:t>
      </w:r>
      <w:r w:rsidRPr="00DC2587">
        <w:rPr>
          <w:rFonts w:ascii="Calibri" w:hAnsi="Calibri" w:cs="Calibri"/>
        </w:rPr>
        <w:t>§</w:t>
      </w:r>
      <w:r>
        <w:t xml:space="preserve"> 6204, 103 Stat. 2106 (1989) (codified at 42 U.S.C. </w:t>
      </w:r>
      <w:r w:rsidRPr="00DC2587">
        <w:rPr>
          <w:rFonts w:ascii="Calibri" w:hAnsi="Calibri" w:cs="Calibri"/>
        </w:rPr>
        <w:t>§</w:t>
      </w:r>
      <w:r>
        <w:t xml:space="preserve"> 1395nn).</w:t>
      </w:r>
    </w:p>
  </w:footnote>
  <w:footnote w:id="2">
    <w:p w:rsidR="00A819F5" w:rsidRDefault="00A819F5">
      <w:pPr>
        <w:pStyle w:val="FootnoteText"/>
      </w:pPr>
      <w:r>
        <w:rPr>
          <w:rStyle w:val="FootnoteReference"/>
        </w:rPr>
        <w:footnoteRef/>
      </w:r>
      <w:r>
        <w:t xml:space="preserve"> </w:t>
      </w:r>
      <w:proofErr w:type="gramStart"/>
      <w:r>
        <w:t>Pub.</w:t>
      </w:r>
      <w:proofErr w:type="gramEnd"/>
      <w:r>
        <w:t xml:space="preserve"> </w:t>
      </w:r>
      <w:proofErr w:type="gramStart"/>
      <w:r>
        <w:t xml:space="preserve">L. No. 103-66 </w:t>
      </w:r>
      <w:r w:rsidRPr="00DC2587">
        <w:rPr>
          <w:rFonts w:ascii="Calibri" w:hAnsi="Calibri" w:cs="Calibri"/>
        </w:rPr>
        <w:t>§</w:t>
      </w:r>
      <w:r>
        <w:t xml:space="preserve"> 13562, 107 Stat. 312 (1993).</w:t>
      </w:r>
      <w:proofErr w:type="gramEnd"/>
    </w:p>
  </w:footnote>
  <w:footnote w:id="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a)(1)(A).</w:t>
      </w:r>
    </w:p>
  </w:footnote>
  <w:footnote w:id="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a)(1)(B).</w:t>
      </w:r>
    </w:p>
  </w:footnote>
  <w:footnote w:id="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f).</w:t>
      </w:r>
    </w:p>
  </w:footnote>
  <w:footnote w:id="6">
    <w:p w:rsidR="00A819F5" w:rsidRDefault="00A819F5">
      <w:pPr>
        <w:pStyle w:val="FootnoteText"/>
      </w:pPr>
      <w:r>
        <w:rPr>
          <w:rStyle w:val="FootnoteReference"/>
        </w:rPr>
        <w:footnoteRef/>
      </w:r>
      <w:r>
        <w:t xml:space="preserve"> </w:t>
      </w:r>
      <w:proofErr w:type="gramStart"/>
      <w:r>
        <w:t>72 Fed.</w:t>
      </w:r>
      <w:proofErr w:type="gramEnd"/>
      <w:r>
        <w:t xml:space="preserve"> Reg. 51012, </w:t>
      </w:r>
      <w:proofErr w:type="gramStart"/>
      <w:r>
        <w:rPr>
          <w:i/>
        </w:rPr>
        <w:t>et</w:t>
      </w:r>
      <w:proofErr w:type="gramEnd"/>
      <w:r>
        <w:rPr>
          <w:i/>
        </w:rPr>
        <w:t xml:space="preserve">. </w:t>
      </w:r>
      <w:proofErr w:type="gramStart"/>
      <w:r>
        <w:rPr>
          <w:i/>
        </w:rPr>
        <w:t>seq</w:t>
      </w:r>
      <w:r>
        <w:t>. (2007).</w:t>
      </w:r>
      <w:proofErr w:type="gramEnd"/>
    </w:p>
  </w:footnote>
  <w:footnote w:id="7">
    <w:p w:rsidR="00A819F5" w:rsidRDefault="00A819F5">
      <w:pPr>
        <w:pStyle w:val="FootnoteText"/>
      </w:pPr>
      <w:r>
        <w:rPr>
          <w:rStyle w:val="FootnoteReference"/>
        </w:rPr>
        <w:footnoteRef/>
      </w:r>
      <w:r>
        <w:t xml:space="preserve"> </w:t>
      </w:r>
      <w:proofErr w:type="gramStart"/>
      <w:r>
        <w:t>72 Fed.</w:t>
      </w:r>
      <w:proofErr w:type="gramEnd"/>
      <w:r>
        <w:t xml:space="preserve"> </w:t>
      </w:r>
      <w:proofErr w:type="gramStart"/>
      <w:r>
        <w:t>Reg. 51013 (2007).</w:t>
      </w:r>
      <w:proofErr w:type="gramEnd"/>
    </w:p>
  </w:footnote>
  <w:footnote w:id="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h)(6); 42 C.F.R. </w:t>
      </w:r>
      <w:r w:rsidRPr="00DC2587">
        <w:rPr>
          <w:rFonts w:ascii="Calibri" w:hAnsi="Calibri" w:cs="Calibri"/>
        </w:rPr>
        <w:t>§</w:t>
      </w:r>
      <w:r>
        <w:t xml:space="preserve"> 411.351.</w:t>
      </w:r>
    </w:p>
  </w:footnote>
  <w:footnote w:id="9">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411.355(b)(7)</w:t>
      </w:r>
    </w:p>
  </w:footnote>
  <w:footnote w:id="10">
    <w:p w:rsidR="00A819F5" w:rsidRPr="009E1CCC" w:rsidRDefault="00A819F5">
      <w:pPr>
        <w:pStyle w:val="FootnoteText"/>
      </w:pPr>
      <w:r>
        <w:rPr>
          <w:rStyle w:val="FootnoteReference"/>
        </w:rPr>
        <w:footnoteRef/>
      </w:r>
      <w:r>
        <w:t xml:space="preserve"> </w:t>
      </w:r>
      <w:r>
        <w:rPr>
          <w:i/>
        </w:rPr>
        <w:t>Id</w:t>
      </w:r>
      <w:r>
        <w:t>.</w:t>
      </w:r>
    </w:p>
  </w:footnote>
  <w:footnote w:id="11">
    <w:p w:rsidR="00A819F5" w:rsidRDefault="00A819F5" w:rsidP="00240D8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b)(1), 42 C.F.R. </w:t>
      </w:r>
      <w:r w:rsidRPr="00DC2587">
        <w:rPr>
          <w:rFonts w:ascii="Calibri" w:hAnsi="Calibri" w:cs="Calibri"/>
        </w:rPr>
        <w:t>§</w:t>
      </w:r>
      <w:r>
        <w:t xml:space="preserve"> 411.355(a).</w:t>
      </w:r>
    </w:p>
  </w:footnote>
  <w:footnote w:id="1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b)(2), 42 C.F.R. </w:t>
      </w:r>
      <w:r w:rsidRPr="00DC2587">
        <w:rPr>
          <w:rFonts w:ascii="Calibri" w:hAnsi="Calibri" w:cs="Calibri"/>
        </w:rPr>
        <w:t>§</w:t>
      </w:r>
      <w:r>
        <w:t xml:space="preserve"> 411.355(b).</w:t>
      </w:r>
    </w:p>
  </w:footnote>
  <w:footnote w:id="1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b)(3), 42 C.F.R. </w:t>
      </w:r>
      <w:r w:rsidRPr="00DC2587">
        <w:rPr>
          <w:rFonts w:ascii="Calibri" w:hAnsi="Calibri" w:cs="Calibri"/>
        </w:rPr>
        <w:t>§</w:t>
      </w:r>
      <w:r>
        <w:t xml:space="preserve"> 411.355(c).</w:t>
      </w:r>
    </w:p>
  </w:footnote>
  <w:footnote w:id="1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h), 42 C.F.R. </w:t>
      </w:r>
      <w:r w:rsidRPr="00DC2587">
        <w:rPr>
          <w:rFonts w:ascii="Calibri" w:hAnsi="Calibri" w:cs="Calibri"/>
        </w:rPr>
        <w:t>§</w:t>
      </w:r>
      <w:r>
        <w:t xml:space="preserve"> 411.355(e).</w:t>
      </w:r>
    </w:p>
  </w:footnote>
  <w:footnote w:id="1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411.355(f).</w:t>
      </w:r>
      <w:proofErr w:type="gramEnd"/>
    </w:p>
  </w:footnote>
  <w:footnote w:id="16">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411.355(g).</w:t>
      </w:r>
      <w:proofErr w:type="gramEnd"/>
    </w:p>
  </w:footnote>
  <w:footnote w:id="1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411.355(h).</w:t>
      </w:r>
      <w:proofErr w:type="gramEnd"/>
    </w:p>
  </w:footnote>
  <w:footnote w:id="1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w:t>
      </w:r>
      <w:proofErr w:type="spellStart"/>
      <w:r>
        <w:t>i</w:t>
      </w:r>
      <w:proofErr w:type="spellEnd"/>
      <w:r>
        <w:t>).</w:t>
      </w:r>
      <w:proofErr w:type="gramEnd"/>
    </w:p>
  </w:footnote>
  <w:footnote w:id="19">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411.355(j)</w:t>
      </w:r>
    </w:p>
  </w:footnote>
  <w:footnote w:id="20">
    <w:p w:rsidR="00A819F5" w:rsidRDefault="00A819F5" w:rsidP="003E073B">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1395nn(c); 42 C.F.R. </w:t>
      </w:r>
      <w:r w:rsidRPr="00DC2587">
        <w:rPr>
          <w:rFonts w:ascii="Calibri" w:hAnsi="Calibri" w:cs="Calibri"/>
        </w:rPr>
        <w:t>§</w:t>
      </w:r>
      <w:r>
        <w:t xml:space="preserve"> 411.356.</w:t>
      </w:r>
      <w:proofErr w:type="gramEnd"/>
    </w:p>
  </w:footnote>
  <w:footnote w:id="21">
    <w:p w:rsidR="00E11EA8" w:rsidRDefault="00E11EA8">
      <w:pPr>
        <w:pStyle w:val="FootnoteText"/>
      </w:pPr>
      <w:r>
        <w:rPr>
          <w:rStyle w:val="FootnoteReference"/>
        </w:rPr>
        <w:footnoteRef/>
      </w:r>
      <w:r>
        <w:t xml:space="preserve"> 42 U.S.C. § </w:t>
      </w:r>
      <w:proofErr w:type="gramStart"/>
      <w:r>
        <w:t>1395nn(</w:t>
      </w:r>
      <w:proofErr w:type="gramEnd"/>
      <w:r>
        <w:t>d)(1).</w:t>
      </w:r>
    </w:p>
  </w:footnote>
  <w:footnote w:id="22">
    <w:p w:rsidR="00E11EA8" w:rsidRDefault="00E11EA8">
      <w:pPr>
        <w:pStyle w:val="FootnoteText"/>
      </w:pPr>
      <w:r>
        <w:rPr>
          <w:rStyle w:val="FootnoteReference"/>
        </w:rPr>
        <w:footnoteRef/>
      </w:r>
      <w:r>
        <w:t xml:space="preserve"> 42 U.S.C. § </w:t>
      </w:r>
      <w:proofErr w:type="gramStart"/>
      <w:r>
        <w:t>1395nn(</w:t>
      </w:r>
      <w:proofErr w:type="gramEnd"/>
      <w:r>
        <w:t>d)(2).</w:t>
      </w:r>
    </w:p>
  </w:footnote>
  <w:footnote w:id="2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d)</w:t>
      </w:r>
      <w:r w:rsidR="00E11EA8">
        <w:t>(3)</w:t>
      </w:r>
      <w:r>
        <w:t>.</w:t>
      </w:r>
    </w:p>
  </w:footnote>
  <w:footnote w:id="24">
    <w:p w:rsidR="00E11EA8" w:rsidRDefault="00E11EA8" w:rsidP="00E11EA8">
      <w:pPr>
        <w:pStyle w:val="FootnoteText"/>
      </w:pPr>
      <w:r>
        <w:rPr>
          <w:rStyle w:val="FootnoteReference"/>
        </w:rPr>
        <w:footnoteRef/>
      </w:r>
      <w:r>
        <w:t xml:space="preserve"> As outlined in 42 U.S.C. </w:t>
      </w:r>
      <w:r w:rsidRPr="00DC2587">
        <w:rPr>
          <w:rFonts w:ascii="Calibri" w:hAnsi="Calibri" w:cs="Calibri"/>
        </w:rPr>
        <w:t>§</w:t>
      </w:r>
      <w:r>
        <w:t xml:space="preserve"> </w:t>
      </w:r>
      <w:proofErr w:type="gramStart"/>
      <w:r>
        <w:t>1395nn(</w:t>
      </w:r>
      <w:proofErr w:type="spellStart"/>
      <w:proofErr w:type="gramEnd"/>
      <w:r>
        <w:t>i</w:t>
      </w:r>
      <w:proofErr w:type="spellEnd"/>
      <w:r>
        <w:t>)(1).</w:t>
      </w:r>
    </w:p>
  </w:footnote>
  <w:footnote w:id="2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e)(1)(A); 42 C.F.R. 411.357(a).</w:t>
      </w:r>
    </w:p>
  </w:footnote>
  <w:footnote w:id="26">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e)(1)(B); 42 C.F.R. 411.357(b).</w:t>
      </w:r>
    </w:p>
  </w:footnote>
  <w:footnote w:id="27">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e)(2); 42 C.F.R. </w:t>
      </w:r>
      <w:r w:rsidRPr="00DC2587">
        <w:rPr>
          <w:rFonts w:ascii="Calibri" w:hAnsi="Calibri" w:cs="Calibri"/>
        </w:rPr>
        <w:t>§</w:t>
      </w:r>
      <w:r>
        <w:t xml:space="preserve"> 411.357(c).</w:t>
      </w:r>
    </w:p>
  </w:footnote>
  <w:footnote w:id="2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e)(3); 42 C.F.R. </w:t>
      </w:r>
      <w:r w:rsidRPr="00DC2587">
        <w:rPr>
          <w:rFonts w:ascii="Calibri" w:hAnsi="Calibri" w:cs="Calibri"/>
        </w:rPr>
        <w:t>§</w:t>
      </w:r>
      <w:r>
        <w:t xml:space="preserve"> 411.357(d).</w:t>
      </w:r>
    </w:p>
  </w:footnote>
  <w:footnote w:id="29">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e)(3)(B); 42 C.F.R. </w:t>
      </w:r>
      <w:r w:rsidRPr="00DC2587">
        <w:rPr>
          <w:rFonts w:ascii="Calibri" w:hAnsi="Calibri" w:cs="Calibri"/>
        </w:rPr>
        <w:t>§</w:t>
      </w:r>
      <w:r>
        <w:t xml:space="preserve"> 411.357(d)(2).</w:t>
      </w:r>
    </w:p>
  </w:footnote>
  <w:footnote w:id="30">
    <w:p w:rsidR="00A819F5" w:rsidRDefault="00A819F5" w:rsidP="003A062C">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e)(4); 42 C.F.R. </w:t>
      </w:r>
      <w:r w:rsidRPr="00DC2587">
        <w:rPr>
          <w:rFonts w:ascii="Calibri" w:hAnsi="Calibri" w:cs="Calibri"/>
        </w:rPr>
        <w:t>§</w:t>
      </w:r>
      <w:r>
        <w:t xml:space="preserve"> 411.357(g).</w:t>
      </w:r>
    </w:p>
  </w:footnote>
  <w:footnote w:id="31">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e)(5); 42 C.F.R. </w:t>
      </w:r>
      <w:r w:rsidRPr="00DC2587">
        <w:rPr>
          <w:rFonts w:ascii="Calibri" w:hAnsi="Calibri" w:cs="Calibri"/>
        </w:rPr>
        <w:t>§</w:t>
      </w:r>
      <w:r>
        <w:t xml:space="preserve"> 411.357(e).</w:t>
      </w:r>
    </w:p>
  </w:footnote>
  <w:footnote w:id="3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e)(6); 42 C.F.R. </w:t>
      </w:r>
      <w:r w:rsidRPr="00DC2587">
        <w:rPr>
          <w:rFonts w:ascii="Calibri" w:hAnsi="Calibri" w:cs="Calibri"/>
        </w:rPr>
        <w:t>§</w:t>
      </w:r>
      <w:r>
        <w:t xml:space="preserve"> 411.357(f).</w:t>
      </w:r>
    </w:p>
  </w:footnote>
  <w:footnote w:id="3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e)(7); 42 C.F.R. </w:t>
      </w:r>
      <w:r w:rsidRPr="00DC2587">
        <w:rPr>
          <w:rFonts w:ascii="Calibri" w:hAnsi="Calibri" w:cs="Calibri"/>
        </w:rPr>
        <w:t>§</w:t>
      </w:r>
      <w:r>
        <w:t xml:space="preserve"> 411.357(h).</w:t>
      </w:r>
    </w:p>
  </w:footnote>
  <w:footnote w:id="3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e)(8); 42 C.F.R. </w:t>
      </w:r>
      <w:r w:rsidRPr="00DC2587">
        <w:rPr>
          <w:rFonts w:ascii="Calibri" w:hAnsi="Calibri" w:cs="Calibri"/>
        </w:rPr>
        <w:t>§</w:t>
      </w:r>
      <w:r>
        <w:t xml:space="preserve"> 411.357(</w:t>
      </w:r>
      <w:proofErr w:type="spellStart"/>
      <w:r>
        <w:t>i</w:t>
      </w:r>
      <w:proofErr w:type="spellEnd"/>
      <w:r>
        <w:t>).</w:t>
      </w:r>
    </w:p>
  </w:footnote>
  <w:footnote w:id="3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411.357(j).</w:t>
      </w:r>
      <w:proofErr w:type="gramEnd"/>
    </w:p>
  </w:footnote>
  <w:footnote w:id="36">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411.357(k).</w:t>
      </w:r>
      <w:proofErr w:type="gramEnd"/>
    </w:p>
  </w:footnote>
  <w:footnote w:id="3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411.357(l).</w:t>
      </w:r>
      <w:proofErr w:type="gramEnd"/>
    </w:p>
  </w:footnote>
  <w:footnote w:id="3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411.357(m).</w:t>
      </w:r>
      <w:proofErr w:type="gramEnd"/>
    </w:p>
  </w:footnote>
  <w:footnote w:id="39">
    <w:p w:rsidR="00A819F5" w:rsidRDefault="00A819F5" w:rsidP="00240D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411.357(n).</w:t>
      </w:r>
      <w:proofErr w:type="gramEnd"/>
    </w:p>
  </w:footnote>
  <w:footnote w:id="40">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411.357(o).</w:t>
      </w:r>
      <w:proofErr w:type="gramEnd"/>
    </w:p>
  </w:footnote>
  <w:footnote w:id="41">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411.357(p).</w:t>
      </w:r>
      <w:proofErr w:type="gramEnd"/>
    </w:p>
  </w:footnote>
  <w:footnote w:id="42">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411.357(q).</w:t>
      </w:r>
      <w:proofErr w:type="gramEnd"/>
    </w:p>
  </w:footnote>
  <w:footnote w:id="43">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411.357(r).</w:t>
      </w:r>
      <w:proofErr w:type="gramEnd"/>
    </w:p>
  </w:footnote>
  <w:footnote w:id="44">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411.357(s).</w:t>
      </w:r>
      <w:proofErr w:type="gramEnd"/>
    </w:p>
  </w:footnote>
  <w:footnote w:id="4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411.357(t).</w:t>
      </w:r>
      <w:proofErr w:type="gramEnd"/>
    </w:p>
  </w:footnote>
  <w:footnote w:id="46">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411.357(u)</w:t>
      </w:r>
    </w:p>
  </w:footnote>
  <w:footnote w:id="4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411.357(v).</w:t>
      </w:r>
      <w:proofErr w:type="gramEnd"/>
    </w:p>
  </w:footnote>
  <w:footnote w:id="4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411.353(f).</w:t>
      </w:r>
      <w:proofErr w:type="gramEnd"/>
    </w:p>
  </w:footnote>
  <w:footnote w:id="49">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411.357(w).</w:t>
      </w:r>
      <w:proofErr w:type="gramEnd"/>
    </w:p>
  </w:footnote>
  <w:footnote w:id="50">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b)(4).</w:t>
      </w:r>
    </w:p>
  </w:footnote>
  <w:footnote w:id="51">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a)(1); 42 C.F.R. </w:t>
      </w:r>
      <w:r w:rsidRPr="00DC2587">
        <w:rPr>
          <w:rFonts w:ascii="Calibri" w:hAnsi="Calibri" w:cs="Calibri"/>
        </w:rPr>
        <w:t>§</w:t>
      </w:r>
      <w:r>
        <w:t xml:space="preserve"> 411.353(a).</w:t>
      </w:r>
    </w:p>
  </w:footnote>
  <w:footnote w:id="5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g)(1).</w:t>
      </w:r>
    </w:p>
  </w:footnote>
  <w:footnote w:id="5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g)(2).</w:t>
      </w:r>
    </w:p>
  </w:footnote>
  <w:footnote w:id="5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3).</w:t>
      </w:r>
    </w:p>
  </w:footnote>
  <w:footnote w:id="5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4).</w:t>
      </w:r>
    </w:p>
  </w:footnote>
  <w:footnote w:id="56">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5).</w:t>
      </w:r>
    </w:p>
  </w:footnote>
  <w:footnote w:id="57">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4); 42 U.S.C. </w:t>
      </w:r>
      <w:r w:rsidRPr="00DC2587">
        <w:rPr>
          <w:rFonts w:ascii="Calibri" w:hAnsi="Calibri" w:cs="Calibri"/>
        </w:rPr>
        <w:t>§</w:t>
      </w:r>
      <w:r>
        <w:t xml:space="preserve"> 1320a-7a(a).</w:t>
      </w:r>
    </w:p>
  </w:footnote>
  <w:footnote w:id="5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4); 42 U.S.C. </w:t>
      </w:r>
      <w:r w:rsidRPr="00DC2587">
        <w:rPr>
          <w:rFonts w:ascii="Calibri" w:hAnsi="Calibri" w:cs="Calibri"/>
        </w:rPr>
        <w:t>§</w:t>
      </w:r>
      <w:r>
        <w:t xml:space="preserve"> 1320a-7a(a).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6F73"/>
    <w:multiLevelType w:val="hybridMultilevel"/>
    <w:tmpl w:val="D3A8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C5ABA"/>
    <w:multiLevelType w:val="hybridMultilevel"/>
    <w:tmpl w:val="FDE4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02DC2"/>
    <w:multiLevelType w:val="hybridMultilevel"/>
    <w:tmpl w:val="B8A29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862CB960"/>
    <w:lvl w:ilvl="0" w:tplc="0BC0244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E654B"/>
    <w:rsid w:val="000026F6"/>
    <w:rsid w:val="000D4519"/>
    <w:rsid w:val="00146B0B"/>
    <w:rsid w:val="00184EE7"/>
    <w:rsid w:val="001D0921"/>
    <w:rsid w:val="001F60BE"/>
    <w:rsid w:val="00240D80"/>
    <w:rsid w:val="00253906"/>
    <w:rsid w:val="002573E6"/>
    <w:rsid w:val="0027204B"/>
    <w:rsid w:val="00274CED"/>
    <w:rsid w:val="002F3A57"/>
    <w:rsid w:val="0038668E"/>
    <w:rsid w:val="003A062C"/>
    <w:rsid w:val="003C1845"/>
    <w:rsid w:val="003E073B"/>
    <w:rsid w:val="003E654B"/>
    <w:rsid w:val="004E34A5"/>
    <w:rsid w:val="00522032"/>
    <w:rsid w:val="00587875"/>
    <w:rsid w:val="00627BE9"/>
    <w:rsid w:val="006307A1"/>
    <w:rsid w:val="006412F6"/>
    <w:rsid w:val="006653C1"/>
    <w:rsid w:val="00666C4E"/>
    <w:rsid w:val="0072141A"/>
    <w:rsid w:val="00750573"/>
    <w:rsid w:val="00751593"/>
    <w:rsid w:val="00831111"/>
    <w:rsid w:val="00872C5B"/>
    <w:rsid w:val="00970C89"/>
    <w:rsid w:val="009E1CCC"/>
    <w:rsid w:val="00A022C8"/>
    <w:rsid w:val="00A819F5"/>
    <w:rsid w:val="00AD03DB"/>
    <w:rsid w:val="00AF5EC7"/>
    <w:rsid w:val="00B22FDF"/>
    <w:rsid w:val="00CE3EF0"/>
    <w:rsid w:val="00E11EA8"/>
    <w:rsid w:val="00EC41A3"/>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4B"/>
    <w:pPr>
      <w:spacing w:after="0" w:line="240" w:lineRule="auto"/>
      <w:jc w:val="both"/>
    </w:pPr>
    <w:rPr>
      <w:rFonts w:eastAsia="Times New Roman"/>
    </w:rPr>
  </w:style>
  <w:style w:type="paragraph" w:styleId="Heading1">
    <w:name w:val="heading 1"/>
    <w:basedOn w:val="Normal"/>
    <w:next w:val="Normal"/>
    <w:link w:val="Heading1Char"/>
    <w:qFormat/>
    <w:rsid w:val="003E654B"/>
    <w:pPr>
      <w:keepNext/>
      <w:keepLines/>
      <w:widowControl w:val="0"/>
      <w:jc w:val="center"/>
      <w:outlineLvl w:val="0"/>
    </w:pPr>
    <w:rPr>
      <w:b/>
      <w:kern w:val="28"/>
    </w:rPr>
  </w:style>
  <w:style w:type="paragraph" w:styleId="Heading2">
    <w:name w:val="heading 2"/>
    <w:basedOn w:val="Normal"/>
    <w:next w:val="Normal"/>
    <w:link w:val="Heading2Char"/>
    <w:qFormat/>
    <w:rsid w:val="003E654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654B"/>
    <w:rPr>
      <w:rFonts w:eastAsia="Times New Roman"/>
      <w:b/>
      <w:kern w:val="28"/>
    </w:rPr>
  </w:style>
  <w:style w:type="character" w:customStyle="1" w:styleId="Heading2Char">
    <w:name w:val="Heading 2 Char"/>
    <w:basedOn w:val="DefaultParagraphFont"/>
    <w:link w:val="Heading2"/>
    <w:rsid w:val="003E654B"/>
    <w:rPr>
      <w:rFonts w:eastAsia="Times New Roman"/>
      <w:b/>
    </w:rPr>
  </w:style>
  <w:style w:type="character" w:styleId="Hyperlink">
    <w:name w:val="Hyperlink"/>
    <w:basedOn w:val="DefaultParagraphFont"/>
    <w:semiHidden/>
    <w:rsid w:val="003E654B"/>
    <w:rPr>
      <w:color w:val="0000FF"/>
      <w:u w:val="single"/>
    </w:rPr>
  </w:style>
  <w:style w:type="paragraph" w:styleId="ListBullet">
    <w:name w:val="List Bullet"/>
    <w:basedOn w:val="Normal"/>
    <w:next w:val="Normal"/>
    <w:autoRedefine/>
    <w:semiHidden/>
    <w:rsid w:val="00A819F5"/>
    <w:pPr>
      <w:numPr>
        <w:numId w:val="2"/>
      </w:numPr>
    </w:pPr>
  </w:style>
  <w:style w:type="paragraph" w:styleId="FootnoteText">
    <w:name w:val="footnote text"/>
    <w:basedOn w:val="Normal"/>
    <w:link w:val="FootnoteTextChar"/>
    <w:uiPriority w:val="99"/>
    <w:semiHidden/>
    <w:unhideWhenUsed/>
    <w:rsid w:val="00253906"/>
    <w:rPr>
      <w:sz w:val="20"/>
    </w:rPr>
  </w:style>
  <w:style w:type="character" w:customStyle="1" w:styleId="FootnoteTextChar">
    <w:name w:val="Footnote Text Char"/>
    <w:basedOn w:val="DefaultParagraphFont"/>
    <w:link w:val="FootnoteText"/>
    <w:uiPriority w:val="99"/>
    <w:semiHidden/>
    <w:rsid w:val="00253906"/>
    <w:rPr>
      <w:rFonts w:eastAsia="Times New Roman"/>
      <w:sz w:val="20"/>
    </w:rPr>
  </w:style>
  <w:style w:type="character" w:styleId="FootnoteReference">
    <w:name w:val="footnote reference"/>
    <w:basedOn w:val="DefaultParagraphFont"/>
    <w:uiPriority w:val="99"/>
    <w:semiHidden/>
    <w:unhideWhenUsed/>
    <w:rsid w:val="00253906"/>
    <w:rPr>
      <w:vertAlign w:val="superscript"/>
    </w:rPr>
  </w:style>
  <w:style w:type="paragraph" w:styleId="BalloonText">
    <w:name w:val="Balloon Text"/>
    <w:basedOn w:val="Normal"/>
    <w:link w:val="BalloonTextChar"/>
    <w:uiPriority w:val="99"/>
    <w:semiHidden/>
    <w:unhideWhenUsed/>
    <w:rsid w:val="00831111"/>
    <w:rPr>
      <w:rFonts w:ascii="Tahoma" w:hAnsi="Tahoma"/>
      <w:sz w:val="16"/>
      <w:szCs w:val="16"/>
    </w:rPr>
  </w:style>
  <w:style w:type="character" w:customStyle="1" w:styleId="BalloonTextChar">
    <w:name w:val="Balloon Text Char"/>
    <w:basedOn w:val="DefaultParagraphFont"/>
    <w:link w:val="BalloonText"/>
    <w:uiPriority w:val="99"/>
    <w:semiHidden/>
    <w:rsid w:val="00831111"/>
    <w:rPr>
      <w:rFonts w:ascii="Tahoma" w:eastAsia="Times New Roman" w:hAnsi="Tahoma"/>
      <w:sz w:val="16"/>
      <w:szCs w:val="16"/>
    </w:rPr>
  </w:style>
  <w:style w:type="paragraph" w:styleId="ListParagraph">
    <w:name w:val="List Paragraph"/>
    <w:basedOn w:val="Normal"/>
    <w:uiPriority w:val="34"/>
    <w:qFormat/>
    <w:rsid w:val="00EC41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s.hhs.gov/PhysicianSelfReferra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wsma.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22178-59E7-47B4-80FF-C1D73D7A929D}"/>
</file>

<file path=customXml/itemProps2.xml><?xml version="1.0" encoding="utf-8"?>
<ds:datastoreItem xmlns:ds="http://schemas.openxmlformats.org/officeDocument/2006/customXml" ds:itemID="{711AE8F2-B71C-4AC9-B97E-1C5ADAEBA68F}"/>
</file>

<file path=customXml/itemProps3.xml><?xml version="1.0" encoding="utf-8"?>
<ds:datastoreItem xmlns:ds="http://schemas.openxmlformats.org/officeDocument/2006/customXml" ds:itemID="{79685CEB-2426-4D42-A30D-011D89EBEB3E}"/>
</file>

<file path=docProps/app.xml><?xml version="1.0" encoding="utf-8"?>
<Properties xmlns="http://schemas.openxmlformats.org/officeDocument/2006/extended-properties" xmlns:vt="http://schemas.openxmlformats.org/officeDocument/2006/docPropsVTypes">
  <Template>Normal.dotm</Template>
  <TotalTime>17</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2012-12-04T00:59:00Z</dcterms:created>
  <dcterms:modified xsi:type="dcterms:W3CDTF">2012-12-04T01:16:00Z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