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r w:rsidR="00F25B2D">
        <w:rPr>
          <w:b/>
          <w:bCs/>
        </w:rPr>
        <w:t xml:space="preserve"> (THE DATA BANK)</w:t>
      </w:r>
    </w:p>
    <w:p w:rsidR="00B57397" w:rsidRDefault="00B57397" w:rsidP="00B57397">
      <w:pPr>
        <w:keepNext/>
        <w:keepLines/>
        <w:widowControl w:val="0"/>
        <w:rPr>
          <w:b/>
          <w:bCs/>
        </w:rPr>
      </w:pPr>
    </w:p>
    <w:p w:rsidR="00B57397" w:rsidRDefault="00B57397" w:rsidP="00B57397">
      <w:pPr>
        <w:keepNext/>
        <w:keepLines/>
        <w:widowControl w:val="0"/>
      </w:pPr>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1"/>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r w:rsidR="0017348F">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r w:rsidR="0017348F">
        <w:rPr>
          <w:rStyle w:val="FootnoteReference"/>
        </w:rPr>
        <w:footnoteReference w:id="3"/>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r w:rsidR="0017348F">
        <w:rPr>
          <w:rStyle w:val="FootnoteReference"/>
        </w:rPr>
        <w:footnoteReference w:id="4"/>
      </w:r>
    </w:p>
    <w:p w:rsidR="00F600E5" w:rsidRDefault="00F600E5" w:rsidP="00F600E5"/>
    <w:p w:rsidR="00F600E5" w:rsidRDefault="00BB19C9" w:rsidP="00F600E5">
      <w:pPr>
        <w:ind w:firstLine="360"/>
      </w:pPr>
      <w:r>
        <w:t>The U.S. Department of Health and Human Services announced in April, 2013 that</w:t>
      </w:r>
      <w:r w:rsidR="003C0086">
        <w:t xml:space="preserve"> two previously </w:t>
      </w:r>
      <w:r w:rsidR="004F4C51">
        <w:t>maintained</w:t>
      </w:r>
      <w:r w:rsidR="003C0086">
        <w:t xml:space="preserve"> data banks </w:t>
      </w:r>
      <w:r>
        <w:t>– the Healthcare Integrity and Protections Data Bank (HIPDB) and the National Practitioner Data Bank (NPDB)</w:t>
      </w:r>
      <w:r w:rsidR="009B4A3D">
        <w:t xml:space="preserve"> –</w:t>
      </w:r>
      <w:r w:rsidR="000E3EC8">
        <w:t xml:space="preserve"> </w:t>
      </w:r>
      <w:r>
        <w:t>would merge together.</w:t>
      </w:r>
      <w:r>
        <w:rPr>
          <w:rStyle w:val="FootnoteReference"/>
        </w:rPr>
        <w:footnoteReference w:id="5"/>
      </w:r>
      <w:r>
        <w:t xml:space="preserve"> N</w:t>
      </w:r>
      <w:r w:rsidR="003C0086">
        <w:t xml:space="preserve">ow </w:t>
      </w:r>
      <w:r>
        <w:t>HIPBD and NIPDB</w:t>
      </w:r>
      <w:r w:rsidR="004F4C51">
        <w:t xml:space="preserve"> </w:t>
      </w:r>
      <w:r w:rsidR="003C0086">
        <w:t>have been combined into a single entity called “the Data Bank.”</w:t>
      </w:r>
      <w:r w:rsidR="001E4925">
        <w:rPr>
          <w:rStyle w:val="FootnoteReference"/>
        </w:rPr>
        <w:footnoteReference w:id="6"/>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7"/>
      </w:r>
      <w:r w:rsidR="00DD3D39">
        <w:t xml:space="preserve"> </w:t>
      </w:r>
    </w:p>
    <w:p w:rsidR="00254692" w:rsidRDefault="00254692" w:rsidP="00F600E5"/>
    <w:p w:rsidR="00CA53D9" w:rsidRDefault="00CA53D9" w:rsidP="00254692">
      <w:r>
        <w:rPr>
          <w:b/>
        </w:rPr>
        <w:t>What is new now that the NPDB has merged with the HIPDB?</w:t>
      </w:r>
    </w:p>
    <w:p w:rsidR="00EB57F7" w:rsidRPr="00CA53D9" w:rsidRDefault="0014133F" w:rsidP="00EB57F7">
      <w:r>
        <w:t>Now that the NPDB and HIPDB are one data bank, users’ query results will be more inclusive than before, but there has been no change to the reporting requirements.</w:t>
      </w:r>
      <w:r w:rsidR="00D858DD">
        <w:rPr>
          <w:rStyle w:val="FootnoteReference"/>
        </w:rPr>
        <w:footnoteReference w:id="8"/>
      </w:r>
      <w:r w:rsidR="00CA53D9">
        <w:t xml:space="preserve"> </w:t>
      </w:r>
      <w:r w:rsidR="00EB57F7">
        <w:rPr>
          <w:bCs/>
        </w:rPr>
        <w:t xml:space="preserve">The statutes that require reporting have all remained in effect, though slightly modified, and the merger simply combines all the reported information into a single data bank. </w:t>
      </w:r>
    </w:p>
    <w:p w:rsidR="00CA53D9" w:rsidRDefault="00EB57F7" w:rsidP="00F600E5">
      <w:pPr>
        <w:pStyle w:val="NormalWeb"/>
        <w:ind w:firstLine="360"/>
      </w:pPr>
      <w:r>
        <w:t xml:space="preserve">Database </w:t>
      </w:r>
      <w:proofErr w:type="spellStart"/>
      <w:r>
        <w:t>queriers</w:t>
      </w:r>
      <w:proofErr w:type="spellEnd"/>
      <w:r>
        <w:t xml:space="preserve"> may notice some differences. </w:t>
      </w:r>
      <w:r w:rsidR="00CA53D9">
        <w:t>The Data Bank’s website lists the changes that each user group may experience</w:t>
      </w:r>
      <w:r>
        <w:t xml:space="preserve"> (</w:t>
      </w:r>
      <w:hyperlink r:id="rId8" w:history="1">
        <w:r w:rsidR="00F25B2D" w:rsidRPr="009E56A0">
          <w:rPr>
            <w:rStyle w:val="Hyperlink"/>
          </w:rPr>
          <w:t>http://www.npdb-hipdb.hrsa.gov/resources/npdbMerge.jsp</w:t>
        </w:r>
      </w:hyperlink>
      <w:r>
        <w:t>)</w:t>
      </w:r>
      <w:r w:rsidR="00CA53D9">
        <w:t>:</w:t>
      </w: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AE59F1" w:rsidRDefault="00B0754E" w:rsidP="00254692">
      <w:r>
        <w:tab/>
        <w:t xml:space="preserve">The reporting requirements for the </w:t>
      </w:r>
      <w:r w:rsidR="008D685D">
        <w:t xml:space="preserve">Data Bank </w:t>
      </w:r>
      <w:r>
        <w:t>apply to</w:t>
      </w:r>
      <w:r w:rsidR="00D77198">
        <w:t>:</w:t>
      </w:r>
      <w:r w:rsidR="00D77198">
        <w:rPr>
          <w:rStyle w:val="FootnoteReference"/>
        </w:rPr>
        <w:footnoteReference w:id="9"/>
      </w:r>
      <w:r w:rsidR="00D77198">
        <w:t xml:space="preserve"> </w:t>
      </w:r>
    </w:p>
    <w:p w:rsidR="00AE59F1" w:rsidRDefault="00AE59F1" w:rsidP="00254692"/>
    <w:p w:rsidR="0022786A" w:rsidRDefault="00AE59F1">
      <w:pPr>
        <w:pStyle w:val="ListParagraph"/>
        <w:numPr>
          <w:ilvl w:val="0"/>
          <w:numId w:val="16"/>
        </w:numPr>
        <w:rPr>
          <w:szCs w:val="24"/>
        </w:rPr>
      </w:pPr>
      <w:r>
        <w:lastRenderedPageBreak/>
        <w:t>Hospitals and other health care entities;</w:t>
      </w:r>
    </w:p>
    <w:p w:rsidR="0022786A" w:rsidRDefault="0022786A">
      <w:pPr>
        <w:pStyle w:val="ListParagraph"/>
        <w:rPr>
          <w:szCs w:val="24"/>
        </w:rPr>
      </w:pPr>
    </w:p>
    <w:p w:rsidR="0022786A" w:rsidRDefault="00AE59F1">
      <w:pPr>
        <w:pStyle w:val="ListParagraph"/>
        <w:numPr>
          <w:ilvl w:val="0"/>
          <w:numId w:val="16"/>
        </w:numPr>
        <w:rPr>
          <w:rStyle w:val="CommentReference"/>
          <w:sz w:val="24"/>
          <w:szCs w:val="24"/>
        </w:rPr>
      </w:pPr>
      <w:r>
        <w:t>Entities (including insurance companies) that make payments as a result of medical malpractice actions or claims;</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Professional societies that follow a formal peer review process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Licensing and Certification Authorities (including State Medical and Dental Boards)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Private accreditation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Peer review organizations</w:t>
      </w:r>
      <w:r>
        <w:rPr>
          <w:snapToGrid/>
          <w:szCs w:val="24"/>
        </w:rPr>
        <w:t>;</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law enforcement agencies</w:t>
      </w:r>
      <w:r>
        <w:rPr>
          <w:snapToGrid/>
          <w:szCs w:val="24"/>
        </w:rPr>
        <w:t>;</w:t>
      </w:r>
      <w:r>
        <w:rPr>
          <w:rStyle w:val="FootnoteReference"/>
          <w:snapToGrid/>
          <w:szCs w:val="24"/>
        </w:rPr>
        <w:footnoteReference w:id="10"/>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Medicaid Fraud Control Units</w:t>
      </w:r>
      <w:r>
        <w:rPr>
          <w:snapToGrid/>
          <w:szCs w:val="24"/>
        </w:rPr>
        <w:t>;</w:t>
      </w:r>
      <w:r w:rsidDel="006951EC">
        <w:rPr>
          <w:rStyle w:val="FootnoteReference"/>
          <w:snapToGrid/>
          <w:szCs w:val="24"/>
        </w:rPr>
        <w:t xml:space="preserve"> </w:t>
      </w:r>
      <w:r>
        <w:rPr>
          <w:rStyle w:val="FootnoteReference"/>
          <w:snapToGrid/>
          <w:szCs w:val="24"/>
        </w:rPr>
        <w:footnoteReference w:id="11"/>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State agencies administering or supervising the administration of a state health care program</w:t>
      </w:r>
      <w:r>
        <w:rPr>
          <w:snapToGrid/>
          <w:szCs w:val="24"/>
        </w:rPr>
        <w:t>;</w:t>
      </w:r>
      <w:r>
        <w:rPr>
          <w:rStyle w:val="FootnoteReference"/>
          <w:snapToGrid/>
          <w:szCs w:val="24"/>
        </w:rPr>
        <w:footnoteReference w:id="12"/>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Federal government agencies (including the Drug Enforcement Administration and the HHS Office of Inspector General)</w:t>
      </w:r>
      <w:r>
        <w:rPr>
          <w:snapToGrid/>
          <w:szCs w:val="24"/>
        </w:rPr>
        <w:t>;</w:t>
      </w:r>
      <w:r w:rsidRPr="00FC1368">
        <w:rPr>
          <w:snapToGrid/>
          <w:szCs w:val="24"/>
        </w:rPr>
        <w:t xml:space="preserve"> </w:t>
      </w:r>
      <w:r>
        <w:rPr>
          <w:snapToGrid/>
          <w:szCs w:val="24"/>
        </w:rPr>
        <w:t>and</w:t>
      </w:r>
    </w:p>
    <w:p w:rsidR="0022786A" w:rsidRDefault="0022786A">
      <w:pPr>
        <w:pStyle w:val="ListParagraph"/>
        <w:rPr>
          <w:szCs w:val="24"/>
        </w:rPr>
      </w:pPr>
    </w:p>
    <w:p w:rsidR="0022786A" w:rsidRDefault="00AE59F1">
      <w:pPr>
        <w:pStyle w:val="ListParagraph"/>
        <w:numPr>
          <w:ilvl w:val="0"/>
          <w:numId w:val="16"/>
        </w:numPr>
        <w:rPr>
          <w:szCs w:val="24"/>
        </w:rPr>
      </w:pPr>
      <w:r w:rsidRPr="00FC1368">
        <w:rPr>
          <w:snapToGrid/>
          <w:szCs w:val="24"/>
        </w:rPr>
        <w:t>Health plans</w:t>
      </w:r>
      <w:r>
        <w:rPr>
          <w:snapToGrid/>
          <w:szCs w:val="24"/>
        </w:rPr>
        <w:t>;</w:t>
      </w:r>
    </w:p>
    <w:p w:rsidR="00B57397" w:rsidRDefault="00B57397" w:rsidP="00B57397">
      <w:pPr>
        <w:tabs>
          <w:tab w:val="left" w:pos="-1440"/>
          <w:tab w:val="left" w:pos="-720"/>
        </w:tabs>
        <w:suppressAutoHyphens/>
      </w:pPr>
    </w:p>
    <w:p w:rsidR="00D858DD" w:rsidRDefault="00D858DD" w:rsidP="00D858DD">
      <w:pPr>
        <w:pStyle w:val="Heading2"/>
      </w:pPr>
      <w:r>
        <w:t>What actions trigger the need to report to the Data Bank?</w:t>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00AE59F1">
        <w:t xml:space="preserve"> (</w:t>
      </w:r>
      <w:hyperlink r:id="rId9" w:history="1">
        <w:r w:rsidR="00DF66F6" w:rsidRPr="007D30C2">
          <w:rPr>
            <w:rStyle w:val="Hyperlink"/>
          </w:rPr>
          <w:t>http://www.npdb-hipdb.hrsa.gov/hcorg/aboutReporting.jsp</w:t>
        </w:r>
      </w:hyperlink>
      <w:r w:rsidR="00DF66F6">
        <w:t>)</w:t>
      </w:r>
      <w:r w:rsidRPr="00012703">
        <w:t>:</w:t>
      </w:r>
      <w:r w:rsidR="00993D29">
        <w:rPr>
          <w:rStyle w:val="FootnoteReference"/>
        </w:rPr>
        <w:footnoteReference w:id="13"/>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What information regarding malpractice payments</w:t>
      </w:r>
      <w:r w:rsidR="00993D29">
        <w:t xml:space="preserve"> </w:t>
      </w:r>
      <w:r>
        <w:t xml:space="preserve">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14"/>
      </w:r>
      <w:r>
        <w:t xml:space="preserve">  The report must be made by the payer within 30 days of the payment and the report must include, among other things:</w:t>
      </w:r>
      <w:r w:rsidR="00993D29">
        <w:rPr>
          <w:rStyle w:val="FootnoteReference"/>
        </w:rPr>
        <w:footnoteReference w:id="15"/>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rsidR="00993D29">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The name of any hospital with which the physician is associated</w:t>
      </w:r>
      <w:r w:rsidR="00993D29">
        <w:t>;</w:t>
      </w:r>
      <w:r>
        <w:t xml:space="preserve"> </w:t>
      </w:r>
    </w:p>
    <w:p w:rsidR="00B57397" w:rsidRDefault="00B57397" w:rsidP="00B57397"/>
    <w:p w:rsidR="00B57397" w:rsidRDefault="00B57397" w:rsidP="001E4925">
      <w:pPr>
        <w:pStyle w:val="ListBullet"/>
      </w:pPr>
      <w:r>
        <w:t>The name of the entity making the payment</w:t>
      </w:r>
      <w:r w:rsidR="00993D29">
        <w:t xml:space="preserve"> and the name and contact information for the individual submitting the report;</w:t>
      </w:r>
    </w:p>
    <w:p w:rsidR="0022786A" w:rsidRDefault="0022786A">
      <w:pPr>
        <w:ind w:left="720"/>
      </w:pPr>
    </w:p>
    <w:p w:rsidR="0022786A" w:rsidRDefault="00993D29">
      <w:pPr>
        <w:pStyle w:val="ListParagraph"/>
        <w:numPr>
          <w:ilvl w:val="0"/>
          <w:numId w:val="4"/>
        </w:numPr>
      </w:pPr>
      <w:r>
        <w:t>Relationship of the reporting entity to the physician on whose behalf the payment was made;</w:t>
      </w:r>
    </w:p>
    <w:p w:rsidR="00254692" w:rsidRDefault="00254692" w:rsidP="00254692">
      <w:pPr>
        <w:ind w:left="720"/>
      </w:pPr>
    </w:p>
    <w:p w:rsidR="00993D29" w:rsidRDefault="00993D29" w:rsidP="00254692">
      <w:pPr>
        <w:pStyle w:val="ListParagraph"/>
        <w:numPr>
          <w:ilvl w:val="0"/>
          <w:numId w:val="4"/>
        </w:numPr>
      </w:pPr>
      <w:r>
        <w:t>Where a legal action or claim has been filed with a court, the identification of the court, and the case number;</w:t>
      </w:r>
    </w:p>
    <w:p w:rsidR="0022786A" w:rsidRDefault="0022786A">
      <w:pPr>
        <w:pStyle w:val="ListParagraph"/>
      </w:pPr>
    </w:p>
    <w:p w:rsidR="00993D29" w:rsidRDefault="00993D29" w:rsidP="00254692">
      <w:pPr>
        <w:pStyle w:val="ListParagraph"/>
        <w:numPr>
          <w:ilvl w:val="0"/>
          <w:numId w:val="4"/>
        </w:numPr>
      </w:pPr>
      <w:r>
        <w:t>Date(s) on which the action(s) or omission(s) that were the basis of the action or claim occurred;</w:t>
      </w:r>
    </w:p>
    <w:p w:rsidR="0022786A" w:rsidRDefault="0022786A">
      <w:pPr>
        <w:pStyle w:val="ListParagraph"/>
      </w:pPr>
    </w:p>
    <w:p w:rsidR="00254692" w:rsidRDefault="007E3EAB" w:rsidP="00254692">
      <w:pPr>
        <w:pStyle w:val="ListParagraph"/>
        <w:numPr>
          <w:ilvl w:val="0"/>
          <w:numId w:val="4"/>
        </w:numPr>
      </w:pPr>
      <w:r>
        <w:t>The date of judgment or settlement</w:t>
      </w:r>
      <w:r w:rsidR="00993D29">
        <w: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r w:rsidR="00993D29">
        <w:t>;</w:t>
      </w:r>
    </w:p>
    <w:p w:rsidR="00B57397" w:rsidRDefault="00B57397" w:rsidP="00B57397">
      <w:pPr>
        <w:tabs>
          <w:tab w:val="left" w:pos="-1440"/>
          <w:tab w:val="left" w:pos="-720"/>
        </w:tabs>
        <w:suppressAutoHyphens/>
      </w:pPr>
    </w:p>
    <w:p w:rsidR="00857137" w:rsidRDefault="00B57397" w:rsidP="001E4925">
      <w:pPr>
        <w:pStyle w:val="ListBullet"/>
      </w:pPr>
      <w:r>
        <w:t>A description of the acts or omissions and injuries or illnesses upon which the claim was based</w:t>
      </w:r>
      <w:r w:rsidR="00857137">
        <w:t>;</w:t>
      </w:r>
    </w:p>
    <w:p w:rsidR="0022786A" w:rsidRDefault="0022786A"/>
    <w:p w:rsidR="00857137" w:rsidRDefault="00857137" w:rsidP="001E4925">
      <w:pPr>
        <w:pStyle w:val="ListBullet"/>
      </w:pPr>
      <w:r>
        <w:t>Classification of the acts or omissions according to codes required by the Data Bank; and</w:t>
      </w:r>
    </w:p>
    <w:p w:rsidR="0022786A" w:rsidRDefault="0022786A">
      <w:pPr>
        <w:pStyle w:val="ListBullet"/>
        <w:numPr>
          <w:ilvl w:val="0"/>
          <w:numId w:val="0"/>
        </w:numPr>
        <w:ind w:left="720"/>
      </w:pPr>
    </w:p>
    <w:p w:rsidR="00B57397" w:rsidRDefault="00857137" w:rsidP="001E4925">
      <w:pPr>
        <w:pStyle w:val="ListBullet"/>
      </w:pPr>
      <w:r>
        <w:t>Any other information that may be required in the future after the requirements have been published and adopted.</w:t>
      </w:r>
    </w:p>
    <w:p w:rsidR="00B57397" w:rsidRDefault="00B57397" w:rsidP="00B57397">
      <w:pPr>
        <w:tabs>
          <w:tab w:val="left" w:pos="-1440"/>
          <w:tab w:val="left" w:pos="-720"/>
        </w:tabs>
        <w:suppressAutoHyphens/>
      </w:pPr>
    </w:p>
    <w:p w:rsidR="0022786A" w:rsidRDefault="0088677F">
      <w:pPr>
        <w:tabs>
          <w:tab w:val="left" w:pos="-1440"/>
          <w:tab w:val="left" w:pos="-720"/>
        </w:tabs>
        <w:suppressAutoHyphens/>
        <w:ind w:firstLine="720"/>
      </w:pPr>
      <w:r>
        <w:lastRenderedPageBreak/>
        <w:t xml:space="preserve">There may be some exceptions to </w:t>
      </w:r>
      <w:r w:rsidR="00AC0137">
        <w:t xml:space="preserve">the reporting requirements if a physician’s circumstances differ from those described above. In that case physicians are advised to seek legal counsel regarding reporting. </w:t>
      </w:r>
      <w:r w:rsidR="00857137">
        <w:t>Note also that the waiver of an outstanding debt is not considered a “payment” and is not reportable.</w:t>
      </w:r>
      <w:r w:rsidR="00857137">
        <w:rPr>
          <w:rStyle w:val="FootnoteReference"/>
        </w:rPr>
        <w:footnoteReference w:id="16"/>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17"/>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w:t>
      </w:r>
      <w:r w:rsidR="005433D3">
        <w:t>and</w:t>
      </w:r>
      <w:r w:rsidR="00776DFF">
        <w:t xml:space="preserve"> must </w:t>
      </w:r>
      <w:proofErr w:type="gramStart"/>
      <w:r w:rsidR="00776DFF">
        <w:t>also</w:t>
      </w:r>
      <w:proofErr w:type="gramEnd"/>
      <w:r w:rsidR="00776DFF">
        <w:t xml:space="preserve"> </w:t>
      </w:r>
      <w:r>
        <w:t>be reported.</w:t>
      </w:r>
      <w:r w:rsidR="005433D3">
        <w:rPr>
          <w:rStyle w:val="FootnoteReference"/>
        </w:rPr>
        <w:footnoteReference w:id="18"/>
      </w:r>
      <w:r>
        <w:t xml:space="preserve">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r w:rsidR="005433D3">
        <w:rPr>
          <w:rStyle w:val="FootnoteReference"/>
        </w:rPr>
        <w:footnoteReference w:id="19"/>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lastRenderedPageBreak/>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0"/>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1"/>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lastRenderedPageBreak/>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sidR="00CF56A3">
        <w:rPr>
          <w:i/>
        </w:rPr>
        <w:t>Notification of a Report in the Data Bank(s)</w:t>
      </w:r>
      <w:r w:rsidR="00004E1A">
        <w:rPr>
          <w:i/>
        </w:rPr>
        <w:t>.</w:t>
      </w:r>
      <w:r w:rsidR="00F25B2D">
        <w:t xml:space="preserve"> </w:t>
      </w:r>
      <w:r>
        <w:t xml:space="preserve">If the physician does not have the original </w:t>
      </w:r>
      <w:r>
        <w:rPr>
          <w:i/>
        </w:rPr>
        <w:t>Notification of a Report in the Data Bank(s)</w:t>
      </w:r>
      <w:r>
        <w:t xml:space="preserve">, the physician may </w:t>
      </w:r>
      <w:r w:rsidR="00CF56A3">
        <w:t>follow</w:t>
      </w:r>
      <w:r w:rsidR="00CF56A3" w:rsidRPr="00CF56A3">
        <w:t xml:space="preserve"> the steps outlined on the Databank’s website</w:t>
      </w:r>
      <w:r w:rsidR="00CF56A3">
        <w:t xml:space="preserve"> and use the Report Response Service offered online to submit a statement or dispute a report. More information about how dispute a report and/or file a statement can be found at: </w:t>
      </w:r>
      <w:hyperlink r:id="rId10" w:history="1">
        <w:r w:rsidR="00CF56A3" w:rsidRPr="0082538E">
          <w:rPr>
            <w:rStyle w:val="Hyperlink"/>
          </w:rPr>
          <w:t>http://www.npdb-hipdb.hrsa.gov/pract/howToDisputeAReport.jsp</w:t>
        </w:r>
      </w:hyperlink>
      <w:r w:rsidR="00CF56A3">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r w:rsidR="00D459A4">
        <w:rPr>
          <w:rStyle w:val="FootnoteReference"/>
        </w:rPr>
        <w:footnoteReference w:id="22"/>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w:t>
      </w:r>
      <w:r w:rsidR="006A2FD6">
        <w:t>medical malpractice payments, adverse licensure actions by Boards of Medical Examiners, and adverse actions against clinical privileges</w:t>
      </w:r>
      <w:r>
        <w:t>:</w:t>
      </w:r>
      <w:r w:rsidR="009D3332">
        <w:rPr>
          <w:rStyle w:val="FootnoteReference"/>
        </w:rPr>
        <w:footnoteReference w:id="23"/>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4"/>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6A2FD6" w:rsidRDefault="006A2FD6" w:rsidP="00E92EB4">
      <w:pPr>
        <w:ind w:firstLine="720"/>
      </w:pPr>
      <w:r>
        <w:t>The following persons or entities may query the Data Bank for adverse state licensure actions, adverse Federal licensure actions, negative actions or findings by peer review organizations or private accreditation entities, state or Federal convictions related to delivery of health care services or items, exclusion from participation in state or Federal health care programs, or other reported adjudicated actions or decisions:</w:t>
      </w:r>
      <w:r>
        <w:rPr>
          <w:rStyle w:val="FootnoteReference"/>
        </w:rPr>
        <w:footnoteReference w:id="25"/>
      </w:r>
    </w:p>
    <w:p w:rsidR="0022786A" w:rsidRDefault="0022786A"/>
    <w:p w:rsidR="0022786A" w:rsidRDefault="006A2FD6">
      <w:pPr>
        <w:pStyle w:val="ListParagraph"/>
        <w:numPr>
          <w:ilvl w:val="0"/>
          <w:numId w:val="17"/>
        </w:numPr>
      </w:pPr>
      <w:r>
        <w:t>Agencies administrating Federal health care programs, including private entities administering such programs under contract</w:t>
      </w:r>
      <w:r w:rsidR="005D773F">
        <w:t>.</w:t>
      </w:r>
    </w:p>
    <w:p w:rsidR="0022786A" w:rsidRDefault="0022786A">
      <w:pPr>
        <w:pStyle w:val="ListParagraph"/>
      </w:pPr>
    </w:p>
    <w:p w:rsidR="0022786A" w:rsidRDefault="005D773F">
      <w:pPr>
        <w:pStyle w:val="ListParagraph"/>
        <w:numPr>
          <w:ilvl w:val="0"/>
          <w:numId w:val="17"/>
        </w:numPr>
      </w:pPr>
      <w:r>
        <w:t>State or Federal agencies responsible for licensing or certification of health care practitioners, providers, or suppliers.</w:t>
      </w:r>
    </w:p>
    <w:p w:rsidR="0022786A" w:rsidRDefault="0022786A">
      <w:pPr>
        <w:pStyle w:val="ListParagraph"/>
      </w:pPr>
    </w:p>
    <w:p w:rsidR="0022786A" w:rsidRDefault="005D773F">
      <w:pPr>
        <w:pStyle w:val="ListParagraph"/>
        <w:numPr>
          <w:ilvl w:val="0"/>
          <w:numId w:val="17"/>
        </w:numPr>
      </w:pPr>
      <w:r>
        <w:t>State agencies administering or supervising administration of state health care programs.</w:t>
      </w:r>
    </w:p>
    <w:p w:rsidR="0022786A" w:rsidRDefault="0022786A">
      <w:pPr>
        <w:pStyle w:val="ListParagraph"/>
      </w:pPr>
    </w:p>
    <w:p w:rsidR="0022786A" w:rsidRDefault="005D773F">
      <w:pPr>
        <w:pStyle w:val="ListParagraph"/>
        <w:numPr>
          <w:ilvl w:val="0"/>
          <w:numId w:val="17"/>
        </w:numPr>
      </w:pPr>
      <w:r>
        <w:t>State law or fraud enforcement agencies such as:</w:t>
      </w:r>
    </w:p>
    <w:p w:rsidR="0022786A" w:rsidRDefault="0022786A">
      <w:pPr>
        <w:pStyle w:val="ListParagraph"/>
      </w:pPr>
    </w:p>
    <w:p w:rsidR="0022786A" w:rsidRDefault="005D773F">
      <w:pPr>
        <w:pStyle w:val="ListParagraph"/>
        <w:numPr>
          <w:ilvl w:val="1"/>
          <w:numId w:val="17"/>
        </w:numPr>
      </w:pPr>
      <w:r>
        <w:t>United States Attorney General.</w:t>
      </w:r>
    </w:p>
    <w:p w:rsidR="0022786A" w:rsidRDefault="0022786A">
      <w:pPr>
        <w:pStyle w:val="ListParagraph"/>
      </w:pPr>
    </w:p>
    <w:p w:rsidR="0022786A" w:rsidRDefault="005D773F">
      <w:pPr>
        <w:pStyle w:val="ListParagraph"/>
        <w:numPr>
          <w:ilvl w:val="1"/>
          <w:numId w:val="17"/>
        </w:numPr>
      </w:pPr>
      <w:r>
        <w:lastRenderedPageBreak/>
        <w:t>United States Inspector General.</w:t>
      </w:r>
    </w:p>
    <w:p w:rsidR="0022786A" w:rsidRDefault="0022786A">
      <w:pPr>
        <w:pStyle w:val="ListParagraph"/>
      </w:pPr>
    </w:p>
    <w:p w:rsidR="0022786A" w:rsidRDefault="005D773F">
      <w:pPr>
        <w:pStyle w:val="ListParagraph"/>
        <w:numPr>
          <w:ilvl w:val="1"/>
          <w:numId w:val="17"/>
        </w:numPr>
      </w:pPr>
      <w:r>
        <w:t>United States Attorneys.</w:t>
      </w:r>
    </w:p>
    <w:p w:rsidR="0022786A" w:rsidRDefault="0022786A">
      <w:pPr>
        <w:pStyle w:val="ListParagraph"/>
      </w:pPr>
    </w:p>
    <w:p w:rsidR="0022786A" w:rsidRDefault="005D773F">
      <w:pPr>
        <w:pStyle w:val="ListParagraph"/>
        <w:numPr>
          <w:ilvl w:val="1"/>
          <w:numId w:val="17"/>
        </w:numPr>
      </w:pPr>
      <w:r>
        <w:t>United States Comptroller General.</w:t>
      </w:r>
    </w:p>
    <w:p w:rsidR="0022786A" w:rsidRDefault="0022786A">
      <w:pPr>
        <w:pStyle w:val="ListParagraph"/>
      </w:pPr>
    </w:p>
    <w:p w:rsidR="0022786A" w:rsidRDefault="005D773F">
      <w:pPr>
        <w:pStyle w:val="ListParagraph"/>
        <w:numPr>
          <w:ilvl w:val="1"/>
          <w:numId w:val="17"/>
        </w:numPr>
      </w:pPr>
      <w:r>
        <w:t>United States Drug Enforcement Administration.</w:t>
      </w:r>
    </w:p>
    <w:p w:rsidR="0022786A" w:rsidRDefault="0022786A">
      <w:pPr>
        <w:pStyle w:val="ListParagraph"/>
      </w:pPr>
    </w:p>
    <w:p w:rsidR="0022786A" w:rsidRDefault="005D773F">
      <w:pPr>
        <w:pStyle w:val="ListParagraph"/>
        <w:numPr>
          <w:ilvl w:val="1"/>
          <w:numId w:val="17"/>
        </w:numPr>
      </w:pPr>
      <w:r>
        <w:t>United States Nuclear Regulatory Commission.</w:t>
      </w:r>
    </w:p>
    <w:p w:rsidR="0022786A" w:rsidRDefault="0022786A">
      <w:pPr>
        <w:pStyle w:val="ListParagraph"/>
      </w:pPr>
    </w:p>
    <w:p w:rsidR="0022786A" w:rsidRDefault="005D773F">
      <w:pPr>
        <w:pStyle w:val="ListParagraph"/>
        <w:numPr>
          <w:ilvl w:val="1"/>
          <w:numId w:val="17"/>
        </w:numPr>
      </w:pPr>
      <w:r>
        <w:t>Federal Bureau of Investigation.</w:t>
      </w:r>
    </w:p>
    <w:p w:rsidR="0022786A" w:rsidRDefault="0022786A">
      <w:pPr>
        <w:pStyle w:val="ListParagraph"/>
      </w:pPr>
    </w:p>
    <w:p w:rsidR="0022786A" w:rsidRDefault="008C0F98">
      <w:pPr>
        <w:pStyle w:val="ListParagraph"/>
        <w:numPr>
          <w:ilvl w:val="0"/>
          <w:numId w:val="17"/>
        </w:numPr>
      </w:pPr>
      <w:r>
        <w:t>Federally contracted utilization and peer review organizations.</w:t>
      </w:r>
    </w:p>
    <w:p w:rsidR="008C0F98" w:rsidRDefault="008C0F98" w:rsidP="008C0F98">
      <w:pPr>
        <w:pStyle w:val="ListParagraph"/>
      </w:pPr>
    </w:p>
    <w:p w:rsidR="008C0F98" w:rsidRDefault="008C0F98">
      <w:pPr>
        <w:pStyle w:val="ListParagraph"/>
        <w:numPr>
          <w:ilvl w:val="0"/>
          <w:numId w:val="17"/>
        </w:numPr>
      </w:pPr>
      <w:r>
        <w:t>Health care entities when entering an employment relationship or other affiliation with a physician, including physicians who have applied for clinical privileges or appointment to the Medical Staff.</w:t>
      </w:r>
    </w:p>
    <w:p w:rsidR="008C0F98" w:rsidRDefault="008C0F98" w:rsidP="008C0F98">
      <w:pPr>
        <w:pStyle w:val="ListParagraph"/>
      </w:pPr>
    </w:p>
    <w:p w:rsidR="008C0F98" w:rsidRDefault="008C0F98">
      <w:pPr>
        <w:pStyle w:val="ListParagraph"/>
        <w:numPr>
          <w:ilvl w:val="0"/>
          <w:numId w:val="17"/>
        </w:numPr>
      </w:pPr>
      <w:r>
        <w:t>Health plans.</w:t>
      </w:r>
    </w:p>
    <w:p w:rsidR="008C0F98" w:rsidRDefault="008C0F98" w:rsidP="008C0F98">
      <w:pPr>
        <w:pStyle w:val="ListParagraph"/>
      </w:pPr>
    </w:p>
    <w:p w:rsidR="008C0F98" w:rsidRDefault="008C0F98">
      <w:pPr>
        <w:pStyle w:val="ListParagraph"/>
        <w:numPr>
          <w:ilvl w:val="0"/>
          <w:numId w:val="17"/>
        </w:numPr>
      </w:pPr>
      <w:r>
        <w:t>A physician, health care entity, provider, or supplier who is requesting information concerning himself, herself, or itself.</w:t>
      </w:r>
    </w:p>
    <w:p w:rsidR="00A00774" w:rsidRDefault="00A00774" w:rsidP="00A00774">
      <w:pPr>
        <w:pStyle w:val="ListParagraph"/>
      </w:pPr>
    </w:p>
    <w:p w:rsidR="00A00774" w:rsidRDefault="00A00774" w:rsidP="00A00774">
      <w:pPr>
        <w:pStyle w:val="ListBullet"/>
        <w:numPr>
          <w:ilvl w:val="0"/>
          <w:numId w:val="17"/>
        </w:numPr>
      </w:pPr>
      <w:r>
        <w:t>A person or entity requesting statistical information which does not permit identification of any individual or entity.</w:t>
      </w:r>
    </w:p>
    <w:p w:rsidR="006A2FD6" w:rsidRDefault="006A2FD6" w:rsidP="00E92EB4">
      <w:pPr>
        <w:ind w:firstLine="720"/>
      </w:pPr>
    </w:p>
    <w:p w:rsidR="00254692" w:rsidRDefault="00B57397" w:rsidP="00E92EB4">
      <w:pPr>
        <w:ind w:firstLine="720"/>
      </w:pPr>
      <w:r>
        <w:t xml:space="preserve">Medical malpractice payors may not query the </w:t>
      </w:r>
      <w:r w:rsidR="00B06C75">
        <w:t>Data Bank</w:t>
      </w:r>
      <w:r>
        <w:t xml:space="preserve"> at any time.</w:t>
      </w:r>
      <w:r w:rsidR="0096149D">
        <w:rPr>
          <w:rStyle w:val="FootnoteReference"/>
        </w:rPr>
        <w:footnoteReference w:id="26"/>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B2D" w:rsidRDefault="00F25B2D" w:rsidP="00B0754E">
      <w:r>
        <w:separator/>
      </w:r>
    </w:p>
  </w:endnote>
  <w:endnote w:type="continuationSeparator" w:id="0">
    <w:p w:rsidR="00F25B2D" w:rsidRDefault="00F25B2D"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B2D" w:rsidRDefault="00F25B2D" w:rsidP="00B0754E">
      <w:r>
        <w:separator/>
      </w:r>
    </w:p>
  </w:footnote>
  <w:footnote w:type="continuationSeparator" w:id="0">
    <w:p w:rsidR="00F25B2D" w:rsidRDefault="00F25B2D" w:rsidP="00B0754E">
      <w:r>
        <w:continuationSeparator/>
      </w:r>
    </w:p>
  </w:footnote>
  <w:footnote w:id="1">
    <w:p w:rsidR="00F25B2D" w:rsidRDefault="00F25B2D" w:rsidP="001E4925">
      <w:pPr>
        <w:pStyle w:val="FootnoteText"/>
      </w:pPr>
      <w:r>
        <w:rPr>
          <w:rStyle w:val="FootnoteReference"/>
        </w:rPr>
        <w:footnoteRef/>
      </w:r>
      <w:r>
        <w:t xml:space="preserve"> See 45 </w:t>
      </w:r>
      <w:r w:rsidRPr="00C3242C">
        <w:t xml:space="preserve">CFR </w:t>
      </w:r>
      <w:r w:rsidRPr="00CA2D34">
        <w:rPr>
          <w:rStyle w:val="aref"/>
        </w:rPr>
        <w:t>§</w:t>
      </w:r>
      <w:r w:rsidRPr="00C3242C">
        <w:t xml:space="preserve">60.2; </w:t>
      </w:r>
      <w:r w:rsidRPr="00711B4D">
        <w:t>78</w:t>
      </w:r>
      <w:r>
        <w:t xml:space="preserve"> </w:t>
      </w:r>
      <w:r w:rsidRPr="00C3242C">
        <w:t>FR</w:t>
      </w:r>
      <w:r>
        <w:t xml:space="preserve">  47322 (Aug. 5, 2013).</w:t>
      </w:r>
    </w:p>
  </w:footnote>
  <w:footnote w:id="2">
    <w:p w:rsidR="00F25B2D" w:rsidRDefault="00F25B2D">
      <w:pPr>
        <w:pStyle w:val="FootnoteText"/>
      </w:pPr>
      <w:r>
        <w:rPr>
          <w:rStyle w:val="FootnoteReference"/>
        </w:rPr>
        <w:footnoteRef/>
      </w:r>
      <w:r>
        <w:t xml:space="preserve"> </w:t>
      </w:r>
      <w:proofErr w:type="gramStart"/>
      <w:r>
        <w:t>45 U.S.C. § 11131(a).</w:t>
      </w:r>
      <w:proofErr w:type="gramEnd"/>
    </w:p>
  </w:footnote>
  <w:footnote w:id="3">
    <w:p w:rsidR="00F25B2D" w:rsidRDefault="00F25B2D">
      <w:pPr>
        <w:pStyle w:val="FootnoteText"/>
      </w:pPr>
      <w:r>
        <w:rPr>
          <w:rStyle w:val="FootnoteReference"/>
        </w:rPr>
        <w:footnoteRef/>
      </w:r>
      <w:r>
        <w:t xml:space="preserve"> </w:t>
      </w:r>
      <w:proofErr w:type="gramStart"/>
      <w:r>
        <w:t>45 U.S.C. § 11132(a).</w:t>
      </w:r>
      <w:proofErr w:type="gramEnd"/>
    </w:p>
  </w:footnote>
  <w:footnote w:id="4">
    <w:p w:rsidR="00F25B2D" w:rsidRDefault="00F25B2D">
      <w:pPr>
        <w:pStyle w:val="FootnoteText"/>
      </w:pPr>
      <w:r>
        <w:rPr>
          <w:rStyle w:val="FootnoteReference"/>
        </w:rPr>
        <w:footnoteRef/>
      </w:r>
      <w:r>
        <w:t xml:space="preserve"> </w:t>
      </w:r>
      <w:proofErr w:type="gramStart"/>
      <w:r>
        <w:t>45 U.S.C. § 11133(a).</w:t>
      </w:r>
      <w:proofErr w:type="gramEnd"/>
    </w:p>
  </w:footnote>
  <w:footnote w:id="5">
    <w:p w:rsidR="00F25B2D" w:rsidRDefault="00F25B2D">
      <w:pPr>
        <w:pStyle w:val="FootnoteText"/>
      </w:pPr>
      <w:r>
        <w:rPr>
          <w:rStyle w:val="FootnoteReference"/>
        </w:rPr>
        <w:footnoteRef/>
      </w:r>
      <w:r>
        <w:t xml:space="preserve"> 78 FR 20473 (April 5, 2013).</w:t>
      </w:r>
    </w:p>
  </w:footnote>
  <w:footnote w:id="6">
    <w:p w:rsidR="00F25B2D" w:rsidRPr="00E05E54" w:rsidRDefault="00F25B2D"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hyperlink r:id="rId1" w:history="1">
        <w:r w:rsidRPr="007D30C2">
          <w:rPr>
            <w:rStyle w:val="Hyperlink"/>
          </w:rPr>
          <w:t>http://www.npdb-hipdb.hrsa.gov/topNavigation/aboutUs.jsp</w:t>
        </w:r>
      </w:hyperlink>
      <w:r>
        <w:t>.</w:t>
      </w:r>
    </w:p>
  </w:footnote>
  <w:footnote w:id="7">
    <w:p w:rsidR="00F25B2D" w:rsidRDefault="00F25B2D">
      <w:pPr>
        <w:pStyle w:val="FootnoteText"/>
      </w:pPr>
      <w:r>
        <w:rPr>
          <w:rStyle w:val="FootnoteReference"/>
        </w:rPr>
        <w:footnoteRef/>
      </w:r>
      <w:r>
        <w:t xml:space="preserve"> -</w:t>
      </w:r>
      <w:r w:rsidRPr="00711B4D">
        <w:t>78</w:t>
      </w:r>
      <w:r>
        <w:t xml:space="preserve"> FR  20476 (April 5, 2013) (45 C.F.R. § 60.2).</w:t>
      </w:r>
    </w:p>
  </w:footnote>
  <w:footnote w:id="8">
    <w:p w:rsidR="00F25B2D" w:rsidRDefault="00F25B2D"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2" w:history="1">
        <w:r w:rsidRPr="0092185A">
          <w:rPr>
            <w:rStyle w:val="Hyperlink"/>
          </w:rPr>
          <w:t>http://www.npdb-hipdb.hrsa.gov/resources/npdbMerge.jsp</w:t>
        </w:r>
      </w:hyperlink>
      <w:r>
        <w:t xml:space="preserve">; </w:t>
      </w:r>
      <w:r w:rsidRPr="00711B4D">
        <w:t>78</w:t>
      </w:r>
      <w:r>
        <w:t xml:space="preserve"> FR  47323 (Aug. 5, 2013).</w:t>
      </w:r>
    </w:p>
  </w:footnote>
  <w:footnote w:id="9">
    <w:p w:rsidR="00F25B2D" w:rsidRPr="00E727EE" w:rsidRDefault="00F25B2D" w:rsidP="00D77198">
      <w:pPr>
        <w:pStyle w:val="FootnoteText"/>
      </w:pPr>
      <w:r>
        <w:rPr>
          <w:rStyle w:val="FootnoteReference"/>
        </w:rPr>
        <w:footnoteRef/>
      </w:r>
      <w:r>
        <w:t xml:space="preserve"> </w:t>
      </w:r>
      <w:proofErr w:type="gramStart"/>
      <w:r>
        <w:rPr>
          <w:color w:val="333333"/>
        </w:rPr>
        <w:t>78 FR 20475-20476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60.2</w:t>
      </w:r>
      <w:r w:rsidRPr="00165F08">
        <w:rPr>
          <w:color w:val="333333"/>
        </w:rPr>
        <w:t>).</w:t>
      </w:r>
      <w:proofErr w:type="gramEnd"/>
    </w:p>
  </w:footnote>
  <w:footnote w:id="10">
    <w:p w:rsidR="00F25B2D" w:rsidRDefault="00F25B2D" w:rsidP="00AE59F1">
      <w:pPr>
        <w:pStyle w:val="FootnoteText"/>
      </w:pPr>
      <w:r>
        <w:rPr>
          <w:rStyle w:val="FootnoteReference"/>
        </w:rPr>
        <w:footnoteRef/>
      </w:r>
      <w:r>
        <w:t xml:space="preserve"> 45 C.F.R. § 60.3</w:t>
      </w:r>
    </w:p>
  </w:footnote>
  <w:footnote w:id="11">
    <w:p w:rsidR="00F25B2D" w:rsidRPr="006951EC" w:rsidRDefault="00F25B2D" w:rsidP="00AE59F1">
      <w:pPr>
        <w:pStyle w:val="FootnoteText"/>
      </w:pPr>
      <w:r>
        <w:rPr>
          <w:rStyle w:val="FootnoteReference"/>
        </w:rPr>
        <w:footnoteRef/>
      </w:r>
      <w:r>
        <w:t xml:space="preserve"> </w:t>
      </w:r>
      <w:r>
        <w:rPr>
          <w:i/>
        </w:rPr>
        <w:t>Id</w:t>
      </w:r>
      <w:r>
        <w:t>.</w:t>
      </w:r>
    </w:p>
  </w:footnote>
  <w:footnote w:id="12">
    <w:p w:rsidR="00F25B2D" w:rsidRPr="006951EC" w:rsidRDefault="00F25B2D" w:rsidP="00AE59F1">
      <w:pPr>
        <w:pStyle w:val="FootnoteText"/>
      </w:pPr>
      <w:r>
        <w:rPr>
          <w:rStyle w:val="FootnoteReference"/>
        </w:rPr>
        <w:footnoteRef/>
      </w:r>
      <w:r>
        <w:t xml:space="preserve"> </w:t>
      </w:r>
      <w:r>
        <w:rPr>
          <w:i/>
        </w:rPr>
        <w:t>Id</w:t>
      </w:r>
      <w:r>
        <w:t>.</w:t>
      </w:r>
    </w:p>
  </w:footnote>
  <w:footnote w:id="13">
    <w:p w:rsidR="00F25B2D" w:rsidRDefault="00F25B2D">
      <w:pPr>
        <w:pStyle w:val="FootnoteText"/>
      </w:pPr>
      <w:r>
        <w:rPr>
          <w:rStyle w:val="FootnoteReference"/>
        </w:rPr>
        <w:footnoteRef/>
      </w:r>
      <w:r>
        <w:t xml:space="preserve"> See 45 C.F.R. § 60.5.</w:t>
      </w:r>
    </w:p>
  </w:footnote>
  <w:footnote w:id="14">
    <w:p w:rsidR="00F25B2D" w:rsidRDefault="00F25B2D">
      <w:pPr>
        <w:pStyle w:val="FootnoteText"/>
      </w:pPr>
      <w:r>
        <w:rPr>
          <w:rStyle w:val="FootnoteReference"/>
        </w:rPr>
        <w:footnoteRef/>
      </w:r>
      <w:r>
        <w:t xml:space="preserve"> </w:t>
      </w:r>
      <w:proofErr w:type="gramStart"/>
      <w:r>
        <w:t>42 U.S.C. § 11131.</w:t>
      </w:r>
      <w:proofErr w:type="gramEnd"/>
    </w:p>
  </w:footnote>
  <w:footnote w:id="15">
    <w:p w:rsidR="00F25B2D" w:rsidRDefault="00F25B2D">
      <w:pPr>
        <w:pStyle w:val="FootnoteText"/>
      </w:pPr>
      <w:r>
        <w:rPr>
          <w:rStyle w:val="FootnoteReference"/>
        </w:rPr>
        <w:footnoteRef/>
      </w:r>
      <w:r>
        <w:t xml:space="preserve"> </w:t>
      </w:r>
      <w:proofErr w:type="gramStart"/>
      <w:r>
        <w:t>45 C.F.R. § 60.7(b).</w:t>
      </w:r>
      <w:proofErr w:type="gramEnd"/>
    </w:p>
  </w:footnote>
  <w:footnote w:id="16">
    <w:p w:rsidR="00F25B2D" w:rsidRDefault="00F25B2D" w:rsidP="00857137">
      <w:pPr>
        <w:pStyle w:val="FootnoteText"/>
      </w:pPr>
      <w:r>
        <w:rPr>
          <w:rStyle w:val="FootnoteReference"/>
        </w:rPr>
        <w:footnoteRef/>
      </w:r>
      <w:r>
        <w:t xml:space="preserve"> </w:t>
      </w:r>
      <w:proofErr w:type="gramStart"/>
      <w:r>
        <w:t>45 C.F.R. § 60.7(a).</w:t>
      </w:r>
      <w:proofErr w:type="gramEnd"/>
    </w:p>
  </w:footnote>
  <w:footnote w:id="17">
    <w:p w:rsidR="00F25B2D" w:rsidRDefault="00F25B2D">
      <w:pPr>
        <w:pStyle w:val="FootnoteText"/>
      </w:pPr>
      <w:r>
        <w:rPr>
          <w:rStyle w:val="FootnoteReference"/>
        </w:rPr>
        <w:footnoteRef/>
      </w:r>
      <w:r>
        <w:t xml:space="preserve"> </w:t>
      </w:r>
      <w:proofErr w:type="gramStart"/>
      <w:r>
        <w:t>42 U.S.C. § 11132, 45 C.F.R. § 60.8(a).</w:t>
      </w:r>
      <w:proofErr w:type="gramEnd"/>
    </w:p>
  </w:footnote>
  <w:footnote w:id="18">
    <w:p w:rsidR="00F25B2D" w:rsidRDefault="00F25B2D">
      <w:pPr>
        <w:pStyle w:val="FootnoteText"/>
      </w:pPr>
      <w:r>
        <w:rPr>
          <w:rStyle w:val="FootnoteReference"/>
        </w:rPr>
        <w:footnoteRef/>
      </w:r>
      <w:r>
        <w:t xml:space="preserve"> 45 C.F.R. § 60.9(a</w:t>
      </w:r>
      <w:proofErr w:type="gramStart"/>
      <w:r>
        <w:t>)(</w:t>
      </w:r>
      <w:proofErr w:type="gramEnd"/>
      <w:r>
        <w:t>3).</w:t>
      </w:r>
    </w:p>
  </w:footnote>
  <w:footnote w:id="19">
    <w:p w:rsidR="00F25B2D" w:rsidRDefault="00F25B2D">
      <w:pPr>
        <w:pStyle w:val="FootnoteText"/>
      </w:pPr>
      <w:r>
        <w:rPr>
          <w:rStyle w:val="FootnoteReference"/>
        </w:rPr>
        <w:footnoteRef/>
      </w:r>
      <w:r>
        <w:t xml:space="preserve"> </w:t>
      </w:r>
      <w:proofErr w:type="gramStart"/>
      <w:r>
        <w:t>45 C.F.R. § 60.9(a).</w:t>
      </w:r>
      <w:proofErr w:type="gramEnd"/>
    </w:p>
  </w:footnote>
  <w:footnote w:id="20">
    <w:p w:rsidR="00F25B2D" w:rsidRDefault="00F25B2D">
      <w:pPr>
        <w:pStyle w:val="FootnoteText"/>
      </w:pPr>
      <w:r>
        <w:rPr>
          <w:rStyle w:val="FootnoteReference"/>
        </w:rPr>
        <w:footnoteRef/>
      </w:r>
      <w:r>
        <w:t xml:space="preserve"> </w:t>
      </w:r>
      <w:proofErr w:type="gramStart"/>
      <w:r>
        <w:t>42 U.S.C. § 11133, 45 C.F.R. § 60.11(a), 45 C.F.R. § 60.12(a).</w:t>
      </w:r>
      <w:proofErr w:type="gramEnd"/>
    </w:p>
  </w:footnote>
  <w:footnote w:id="21">
    <w:p w:rsidR="00F25B2D" w:rsidRDefault="00F25B2D">
      <w:pPr>
        <w:pStyle w:val="FootnoteText"/>
      </w:pPr>
      <w:r>
        <w:rPr>
          <w:rStyle w:val="FootnoteReference"/>
        </w:rPr>
        <w:footnoteRef/>
      </w:r>
      <w:r>
        <w:t xml:space="preserve"> See: 45 C.F.R. § 60.21; See also: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2">
    <w:p w:rsidR="00F25B2D" w:rsidRDefault="00F25B2D">
      <w:pPr>
        <w:pStyle w:val="FootnoteText"/>
      </w:pPr>
      <w:r>
        <w:rPr>
          <w:rStyle w:val="FootnoteReference"/>
        </w:rPr>
        <w:footnoteRef/>
      </w:r>
      <w:r>
        <w:t xml:space="preserve"> </w:t>
      </w:r>
      <w:proofErr w:type="gramStart"/>
      <w:r>
        <w:t>42 U.S.C. § 11135(a); 45 C.F.R. § 60.17(a).</w:t>
      </w:r>
      <w:proofErr w:type="gramEnd"/>
    </w:p>
  </w:footnote>
  <w:footnote w:id="23">
    <w:p w:rsidR="00F25B2D" w:rsidRDefault="00F25B2D">
      <w:pPr>
        <w:pStyle w:val="FootnoteText"/>
      </w:pPr>
      <w:r>
        <w:rPr>
          <w:rStyle w:val="FootnoteReference"/>
        </w:rPr>
        <w:footnoteRef/>
      </w:r>
      <w:r>
        <w:t xml:space="preserve"> </w:t>
      </w:r>
      <w:proofErr w:type="gramStart"/>
      <w:r>
        <w:t>45 C.F.R. § 60.18(a).</w:t>
      </w:r>
      <w:proofErr w:type="gramEnd"/>
    </w:p>
  </w:footnote>
  <w:footnote w:id="24">
    <w:p w:rsidR="00F25B2D" w:rsidRDefault="00F25B2D">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 w:id="25">
    <w:p w:rsidR="00F25B2D" w:rsidRDefault="00F25B2D">
      <w:pPr>
        <w:pStyle w:val="FootnoteText"/>
      </w:pPr>
      <w:r>
        <w:rPr>
          <w:rStyle w:val="FootnoteReference"/>
        </w:rPr>
        <w:footnoteRef/>
      </w:r>
      <w:r>
        <w:t xml:space="preserve"> </w:t>
      </w:r>
      <w:proofErr w:type="gramStart"/>
      <w:r>
        <w:t>45 C.F.R. § 60.18(b).</w:t>
      </w:r>
      <w:proofErr w:type="gramEnd"/>
    </w:p>
  </w:footnote>
  <w:footnote w:id="26">
    <w:p w:rsidR="00F25B2D" w:rsidRDefault="00F25B2D">
      <w:pPr>
        <w:pStyle w:val="FootnoteText"/>
      </w:pPr>
      <w:r>
        <w:rPr>
          <w:rStyle w:val="FootnoteReference"/>
        </w:rPr>
        <w:footnoteRef/>
      </w:r>
      <w:r>
        <w:t xml:space="preserve"> See 45 C.F.R. § 60.18.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numPicBullet w:numPicBulletId="1">
    <w:pict>
      <v:shape id="_x0000_i1054" type="#_x0000_t75" style="width:3in;height:3in" o:bullet="t"/>
    </w:pict>
  </w:numPicBullet>
  <w:numPicBullet w:numPicBulletId="2">
    <w:pict>
      <v:shape id="_x0000_i1055" type="#_x0000_t75" style="width:3in;height:3in" o:bullet="t"/>
    </w:pict>
  </w:numPicBullet>
  <w:numPicBullet w:numPicBulletId="3">
    <w:pict>
      <v:shape id="_x0000_i1056" type="#_x0000_t75" style="width:3in;height:3in" o:bullet="t"/>
    </w:pict>
  </w:numPicBullet>
  <w:numPicBullet w:numPicBulletId="4">
    <w:pict>
      <v:shape id="_x0000_i1057" type="#_x0000_t75" style="width:3in;height:3in" o:bullet="t"/>
    </w:pict>
  </w:numPicBullet>
  <w:numPicBullet w:numPicBulletId="5">
    <w:pict>
      <v:shape id="_x0000_i1058" type="#_x0000_t75" style="width:3in;height:3in" o:bullet="t"/>
    </w:pict>
  </w:numPicBullet>
  <w:numPicBullet w:numPicBulletId="6">
    <w:pict>
      <v:shape id="_x0000_i1059" type="#_x0000_t75" style="width:3in;height:3in" o:bullet="t"/>
    </w:pict>
  </w:numPicBullet>
  <w:numPicBullet w:numPicBulletId="7">
    <w:pict>
      <v:shape id="_x0000_i1060" type="#_x0000_t75" style="width:3in;height:3in" o:bullet="t"/>
    </w:pict>
  </w:numPicBullet>
  <w:numPicBullet w:numPicBulletId="8">
    <w:pict>
      <v:shape id="_x0000_i1061"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5D1F"/>
    <w:multiLevelType w:val="hybridMultilevel"/>
    <w:tmpl w:val="8B40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C1547"/>
    <w:multiLevelType w:val="hybridMultilevel"/>
    <w:tmpl w:val="CED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3D25F0"/>
    <w:multiLevelType w:val="hybridMultilevel"/>
    <w:tmpl w:val="408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4"/>
  </w:num>
  <w:num w:numId="5">
    <w:abstractNumId w:val="11"/>
  </w:num>
  <w:num w:numId="6">
    <w:abstractNumId w:val="6"/>
  </w:num>
  <w:num w:numId="7">
    <w:abstractNumId w:val="13"/>
  </w:num>
  <w:num w:numId="8">
    <w:abstractNumId w:val="10"/>
  </w:num>
  <w:num w:numId="9">
    <w:abstractNumId w:val="1"/>
  </w:num>
  <w:num w:numId="10">
    <w:abstractNumId w:val="9"/>
  </w:num>
  <w:num w:numId="11">
    <w:abstractNumId w:val="5"/>
  </w:num>
  <w:num w:numId="12">
    <w:abstractNumId w:val="12"/>
  </w:num>
  <w:num w:numId="13">
    <w:abstractNumId w:val="3"/>
  </w:num>
  <w:num w:numId="14">
    <w:abstractNumId w:val="2"/>
  </w:num>
  <w:num w:numId="15">
    <w:abstractNumId w:val="8"/>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dgnword-docGUID" w:val="{5F070E73-D1BE-4FFF-AE77-84E546D70F40}"/>
    <w:docVar w:name="dgnword-eventsink" w:val="111391320"/>
  </w:docVars>
  <w:rsids>
    <w:rsidRoot w:val="00B57397"/>
    <w:rsid w:val="00004E1A"/>
    <w:rsid w:val="00012703"/>
    <w:rsid w:val="00032981"/>
    <w:rsid w:val="000721C3"/>
    <w:rsid w:val="000D1F36"/>
    <w:rsid w:val="000D3682"/>
    <w:rsid w:val="000D3A8D"/>
    <w:rsid w:val="000D4519"/>
    <w:rsid w:val="000E3EC8"/>
    <w:rsid w:val="0014133F"/>
    <w:rsid w:val="00165F08"/>
    <w:rsid w:val="0017348F"/>
    <w:rsid w:val="00173DC1"/>
    <w:rsid w:val="001E4925"/>
    <w:rsid w:val="00211427"/>
    <w:rsid w:val="00215499"/>
    <w:rsid w:val="0022786A"/>
    <w:rsid w:val="00254692"/>
    <w:rsid w:val="002546F0"/>
    <w:rsid w:val="002573E6"/>
    <w:rsid w:val="002E0770"/>
    <w:rsid w:val="002F3A57"/>
    <w:rsid w:val="00315391"/>
    <w:rsid w:val="00375AAA"/>
    <w:rsid w:val="003C0086"/>
    <w:rsid w:val="003C5133"/>
    <w:rsid w:val="003C67FB"/>
    <w:rsid w:val="00454691"/>
    <w:rsid w:val="004D301D"/>
    <w:rsid w:val="004D4714"/>
    <w:rsid w:val="004F1617"/>
    <w:rsid w:val="004F4C51"/>
    <w:rsid w:val="005433D3"/>
    <w:rsid w:val="005777D7"/>
    <w:rsid w:val="005A7F84"/>
    <w:rsid w:val="005D773F"/>
    <w:rsid w:val="00613833"/>
    <w:rsid w:val="00677212"/>
    <w:rsid w:val="00683D2F"/>
    <w:rsid w:val="006940C4"/>
    <w:rsid w:val="006951EC"/>
    <w:rsid w:val="006A0F46"/>
    <w:rsid w:val="006A2FD6"/>
    <w:rsid w:val="006E5EE0"/>
    <w:rsid w:val="00711B4D"/>
    <w:rsid w:val="00721354"/>
    <w:rsid w:val="007215A9"/>
    <w:rsid w:val="00751593"/>
    <w:rsid w:val="007700AF"/>
    <w:rsid w:val="00776DFF"/>
    <w:rsid w:val="00783C46"/>
    <w:rsid w:val="007E3EAB"/>
    <w:rsid w:val="00813B7C"/>
    <w:rsid w:val="00857137"/>
    <w:rsid w:val="0088677F"/>
    <w:rsid w:val="00891514"/>
    <w:rsid w:val="008C0F98"/>
    <w:rsid w:val="008C3E30"/>
    <w:rsid w:val="008D685D"/>
    <w:rsid w:val="0096149D"/>
    <w:rsid w:val="00963A52"/>
    <w:rsid w:val="00972C37"/>
    <w:rsid w:val="009871FF"/>
    <w:rsid w:val="00993D29"/>
    <w:rsid w:val="009B4A3D"/>
    <w:rsid w:val="009C1631"/>
    <w:rsid w:val="009D3332"/>
    <w:rsid w:val="009D75C9"/>
    <w:rsid w:val="009E62D0"/>
    <w:rsid w:val="00A00774"/>
    <w:rsid w:val="00A13345"/>
    <w:rsid w:val="00A41537"/>
    <w:rsid w:val="00A53C90"/>
    <w:rsid w:val="00A74EE1"/>
    <w:rsid w:val="00A9707B"/>
    <w:rsid w:val="00AC0137"/>
    <w:rsid w:val="00AC478E"/>
    <w:rsid w:val="00AC7177"/>
    <w:rsid w:val="00AE59F1"/>
    <w:rsid w:val="00B05871"/>
    <w:rsid w:val="00B06C75"/>
    <w:rsid w:val="00B0754E"/>
    <w:rsid w:val="00B21CF9"/>
    <w:rsid w:val="00B330AC"/>
    <w:rsid w:val="00B350E3"/>
    <w:rsid w:val="00B445F6"/>
    <w:rsid w:val="00B57397"/>
    <w:rsid w:val="00BA7B82"/>
    <w:rsid w:val="00BB19C9"/>
    <w:rsid w:val="00C06A42"/>
    <w:rsid w:val="00C3242C"/>
    <w:rsid w:val="00C3298E"/>
    <w:rsid w:val="00C917BF"/>
    <w:rsid w:val="00C9559E"/>
    <w:rsid w:val="00CA2D34"/>
    <w:rsid w:val="00CA53D9"/>
    <w:rsid w:val="00CD2A91"/>
    <w:rsid w:val="00CE22C8"/>
    <w:rsid w:val="00CF2804"/>
    <w:rsid w:val="00CF56A3"/>
    <w:rsid w:val="00D00CCA"/>
    <w:rsid w:val="00D0611C"/>
    <w:rsid w:val="00D2392C"/>
    <w:rsid w:val="00D459A4"/>
    <w:rsid w:val="00D77198"/>
    <w:rsid w:val="00D858DD"/>
    <w:rsid w:val="00DD3D39"/>
    <w:rsid w:val="00DE6E87"/>
    <w:rsid w:val="00DF66F6"/>
    <w:rsid w:val="00E43FE9"/>
    <w:rsid w:val="00E727EE"/>
    <w:rsid w:val="00E92EB4"/>
    <w:rsid w:val="00E94827"/>
    <w:rsid w:val="00EB57F7"/>
    <w:rsid w:val="00EB64A4"/>
    <w:rsid w:val="00ED5DD9"/>
    <w:rsid w:val="00EF0284"/>
    <w:rsid w:val="00F23972"/>
    <w:rsid w:val="00F25B2D"/>
    <w:rsid w:val="00F30A76"/>
    <w:rsid w:val="00F34BA6"/>
    <w:rsid w:val="00F600E5"/>
    <w:rsid w:val="00F85EAE"/>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 w:type="paragraph" w:styleId="Revision">
    <w:name w:val="Revision"/>
    <w:hidden/>
    <w:uiPriority w:val="99"/>
    <w:semiHidden/>
    <w:rsid w:val="00C06A42"/>
    <w:pPr>
      <w:spacing w:after="0"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ipdb.hrsa.gov/resources/npdbMerge.js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www.npdb-hipdb.hrsa.gov/pract/howToDisputeAReport.jsp" TargetMode="External"/><Relationship Id="rId4" Type="http://schemas.openxmlformats.org/officeDocument/2006/relationships/settings" Target="settings.xml"/><Relationship Id="rId9" Type="http://schemas.openxmlformats.org/officeDocument/2006/relationships/hyperlink" Target="http://www.npdb-hipdb.hrsa.gov/hcorg/aboutReporting.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resources/npdbMerge.jsp" TargetMode="External"/><Relationship Id="rId1" Type="http://schemas.openxmlformats.org/officeDocument/2006/relationships/hyperlink" Target="http://www.npdb-hipdb.hrsa.gov/topNavigation/about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FE273-3F1C-436F-88FD-FFBF85B92B7C}">
  <ds:schemaRefs>
    <ds:schemaRef ds:uri="http://schemas.openxmlformats.org/officeDocument/2006/bibliography"/>
  </ds:schemaRefs>
</ds:datastoreItem>
</file>

<file path=customXml/itemProps2.xml><?xml version="1.0" encoding="utf-8"?>
<ds:datastoreItem xmlns:ds="http://schemas.openxmlformats.org/officeDocument/2006/customXml" ds:itemID="{68399334-2EE1-4A08-A788-D9390AE53C9B}"/>
</file>

<file path=customXml/itemProps3.xml><?xml version="1.0" encoding="utf-8"?>
<ds:datastoreItem xmlns:ds="http://schemas.openxmlformats.org/officeDocument/2006/customXml" ds:itemID="{41346DE5-0517-414D-AC22-6D4A4C0BA507}"/>
</file>

<file path=customXml/itemProps4.xml><?xml version="1.0" encoding="utf-8"?>
<ds:datastoreItem xmlns:ds="http://schemas.openxmlformats.org/officeDocument/2006/customXml" ds:itemID="{0826B9E3-C5C6-4C84-8529-8DD42553EF2F}"/>
</file>

<file path=docProps/app.xml><?xml version="1.0" encoding="utf-8"?>
<Properties xmlns="http://schemas.openxmlformats.org/officeDocument/2006/extended-properties" xmlns:vt="http://schemas.openxmlformats.org/officeDocument/2006/docPropsVTypes">
  <Template>Normal.dotm</Template>
  <TotalTime>2</TotalTime>
  <Pages>9</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2013-11-01T16:22:00Z</dcterms:created>
  <dcterms:modified xsi:type="dcterms:W3CDTF">2013-11-01T16:53:00Z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