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56E" w:rsidRDefault="00CE756E" w:rsidP="00CE756E">
      <w:pPr>
        <w:pStyle w:val="Heading1"/>
      </w:pPr>
      <w:bookmarkStart w:id="0" w:name="_Toc161565662"/>
      <w:r>
        <w:t>CONFIDENTIAL AND PRIVILEGED INFORMATION</w:t>
      </w:r>
      <w:bookmarkEnd w:id="0"/>
    </w:p>
    <w:p w:rsidR="00CE756E" w:rsidRDefault="00CE756E" w:rsidP="00CE756E">
      <w:pPr>
        <w:keepNext/>
        <w:keepLines/>
        <w:widowControl w:val="0"/>
      </w:pPr>
    </w:p>
    <w:p w:rsidR="00CE756E" w:rsidRDefault="00CE756E" w:rsidP="00CE756E">
      <w:pPr>
        <w:pStyle w:val="Heading2"/>
      </w:pPr>
      <w:r>
        <w:cr/>
        <w:t>What is the physician-patient privilege?</w:t>
      </w:r>
    </w:p>
    <w:p w:rsidR="00CE756E" w:rsidRDefault="00CE756E" w:rsidP="00CE756E">
      <w:pPr>
        <w:keepNext/>
        <w:keepLines/>
        <w:widowControl w:val="0"/>
        <w:tabs>
          <w:tab w:val="left" w:pos="-720"/>
        </w:tabs>
        <w:suppressAutoHyphens/>
      </w:pPr>
    </w:p>
    <w:p w:rsidR="00CE756E" w:rsidRDefault="00CE756E" w:rsidP="00CE756E">
      <w:pPr>
        <w:tabs>
          <w:tab w:val="left" w:pos="-720"/>
        </w:tabs>
        <w:suppressAutoHyphens/>
      </w:pPr>
      <w:r>
        <w:tab/>
        <w:t>The physician-patient privilege protects</w:t>
      </w:r>
      <w:r w:rsidR="00FD3A10">
        <w:t xml:space="preserve"> the patient</w:t>
      </w:r>
      <w:r w:rsidR="00524885">
        <w:t xml:space="preserve"> </w:t>
      </w:r>
      <w:r w:rsidR="00A65969">
        <w:t xml:space="preserve">in a civil action </w:t>
      </w:r>
      <w:r>
        <w:t>from</w:t>
      </w:r>
      <w:r w:rsidR="00FD3A10">
        <w:t xml:space="preserve"> the physician’s</w:t>
      </w:r>
      <w:r>
        <w:t xml:space="preserve"> disclosure</w:t>
      </w:r>
      <w:r w:rsidR="00524885">
        <w:t>—without the patient’s consent—</w:t>
      </w:r>
      <w:r w:rsidR="00AE48FA">
        <w:t>of</w:t>
      </w:r>
      <w:r>
        <w:t xml:space="preserve"> any information that </w:t>
      </w:r>
      <w:r w:rsidR="00F44582">
        <w:t>the</w:t>
      </w:r>
      <w:r>
        <w:t xml:space="preserve"> physician acquires in the course of attending </w:t>
      </w:r>
      <w:r w:rsidR="00F44582">
        <w:t>the</w:t>
      </w:r>
      <w:r>
        <w:t xml:space="preserve"> patient </w:t>
      </w:r>
      <w:r w:rsidR="00F44582">
        <w:t>that</w:t>
      </w:r>
      <w:r>
        <w:t xml:space="preserve"> was necessary to enable the physician to prescribe or act </w:t>
      </w:r>
      <w:r w:rsidR="004A5A53">
        <w:t>for</w:t>
      </w:r>
      <w:r>
        <w:t xml:space="preserve"> the patient.</w:t>
      </w:r>
      <w:r w:rsidR="00A168E0">
        <w:rPr>
          <w:rStyle w:val="FootnoteReference"/>
        </w:rPr>
        <w:footnoteReference w:id="1"/>
      </w:r>
      <w:r>
        <w:t xml:space="preserve">  Privileged information is not limited to communications between the physician and the patient, but also covers all information acquired by the physician in the course of attending the patient, including tests conducted, </w:t>
      </w:r>
      <w:proofErr w:type="gramStart"/>
      <w:r>
        <w:t>x</w:t>
      </w:r>
      <w:r>
        <w:noBreakHyphen/>
        <w:t>rays</w:t>
      </w:r>
      <w:proofErr w:type="gramEnd"/>
      <w:r>
        <w:t>, prescriptions</w:t>
      </w:r>
      <w:r w:rsidR="007E6720">
        <w:t>,</w:t>
      </w:r>
      <w:r>
        <w:t xml:space="preserve"> and statements in hospital charts or other records.</w:t>
      </w:r>
      <w:r w:rsidR="00B91C84">
        <w:rPr>
          <w:rStyle w:val="FootnoteReference"/>
        </w:rPr>
        <w:footnoteReference w:id="2"/>
      </w:r>
    </w:p>
    <w:p w:rsidR="00F825C6" w:rsidRDefault="00F825C6" w:rsidP="00CE756E">
      <w:pPr>
        <w:tabs>
          <w:tab w:val="left" w:pos="-720"/>
        </w:tabs>
        <w:suppressAutoHyphens/>
      </w:pPr>
    </w:p>
    <w:p w:rsidR="00CE756E" w:rsidRDefault="00CE756E" w:rsidP="00CE756E">
      <w:pPr>
        <w:pStyle w:val="Heading2"/>
      </w:pPr>
      <w:r>
        <w:t>Are there exceptions to the physician-patient privilege?</w:t>
      </w:r>
    </w:p>
    <w:p w:rsidR="00CE756E" w:rsidRDefault="00CE756E" w:rsidP="00CE756E">
      <w:pPr>
        <w:keepNext/>
        <w:keepLines/>
        <w:widowControl w:val="0"/>
        <w:tabs>
          <w:tab w:val="left" w:pos="-720"/>
        </w:tabs>
        <w:suppressAutoHyphens/>
      </w:pPr>
    </w:p>
    <w:p w:rsidR="00CE756E" w:rsidRDefault="00CE756E" w:rsidP="00CE756E">
      <w:pPr>
        <w:tabs>
          <w:tab w:val="left" w:pos="-720"/>
        </w:tabs>
        <w:suppressAutoHyphens/>
      </w:pPr>
      <w:r>
        <w:tab/>
        <w:t>Yes.  The physician-patient privilege has several specific exceptions, including the following:</w:t>
      </w:r>
    </w:p>
    <w:p w:rsidR="00CE756E" w:rsidRDefault="00CE756E" w:rsidP="00CE756E">
      <w:pPr>
        <w:tabs>
          <w:tab w:val="left" w:pos="-720"/>
        </w:tabs>
        <w:suppressAutoHyphens/>
      </w:pPr>
    </w:p>
    <w:p w:rsidR="00CE756E" w:rsidRDefault="00CE756E" w:rsidP="00CE756E">
      <w:pPr>
        <w:pStyle w:val="ListBullet"/>
      </w:pPr>
      <w:r>
        <w:t>There is no privilege in any judicial proceeding regarding a child’s injury, neglect</w:t>
      </w:r>
      <w:r w:rsidR="003333FF">
        <w:t>,</w:t>
      </w:r>
      <w:r>
        <w:t xml:space="preserve"> sexual abuse</w:t>
      </w:r>
      <w:r w:rsidR="00EF02CF">
        <w:t>,</w:t>
      </w:r>
      <w:r>
        <w:t xml:space="preserve"> or their</w:t>
      </w:r>
      <w:r w:rsidR="00EF02CF">
        <w:t xml:space="preserve"> respective</w:t>
      </w:r>
      <w:r>
        <w:t xml:space="preserve"> causes.</w:t>
      </w:r>
      <w:r w:rsidR="007E6D92">
        <w:rPr>
          <w:rStyle w:val="FootnoteReference"/>
        </w:rPr>
        <w:footnoteReference w:id="3"/>
      </w:r>
    </w:p>
    <w:p w:rsidR="00CE756E" w:rsidRDefault="00CE756E" w:rsidP="00CE756E">
      <w:pPr>
        <w:tabs>
          <w:tab w:val="left" w:pos="-720"/>
        </w:tabs>
        <w:suppressAutoHyphens/>
      </w:pPr>
    </w:p>
    <w:p w:rsidR="00BB3558" w:rsidRPr="00BB3558" w:rsidRDefault="00CE756E" w:rsidP="00BB3558">
      <w:pPr>
        <w:pStyle w:val="ListBullet"/>
      </w:pPr>
      <w:r>
        <w:t>When a patient files a</w:t>
      </w:r>
      <w:r w:rsidR="00BB3558">
        <w:t>n action for</w:t>
      </w:r>
      <w:r>
        <w:t xml:space="preserve"> wrongful death or personal injury, the patient is deemed to have waived the privilege 90 days after </w:t>
      </w:r>
      <w:r w:rsidR="00EE4D57">
        <w:t>filing</w:t>
      </w:r>
      <w:r>
        <w:t>.</w:t>
      </w:r>
      <w:r w:rsidR="00B862BD">
        <w:rPr>
          <w:rStyle w:val="FootnoteReference"/>
        </w:rPr>
        <w:footnoteReference w:id="4"/>
      </w:r>
      <w:r>
        <w:t xml:space="preserve">  </w:t>
      </w:r>
      <w:r>
        <w:rPr>
          <w:u w:val="single"/>
        </w:rPr>
        <w:t>But</w:t>
      </w:r>
      <w:r>
        <w:t xml:space="preserve"> </w:t>
      </w:r>
      <w:r>
        <w:rPr>
          <w:u w:val="single"/>
        </w:rPr>
        <w:t>see</w:t>
      </w:r>
      <w:r>
        <w:t xml:space="preserve"> </w:t>
      </w:r>
      <w:r>
        <w:rPr>
          <w:b/>
        </w:rPr>
        <w:t>DISCLOSURE OF HEALTH CARE INFORMATION</w:t>
      </w:r>
      <w:r>
        <w:t xml:space="preserve"> concerning when a physician may disclose a patient’s health care information in litigation.</w:t>
      </w:r>
    </w:p>
    <w:p w:rsidR="00CE756E" w:rsidRDefault="00CE756E" w:rsidP="00CE756E">
      <w:pPr>
        <w:tabs>
          <w:tab w:val="left" w:pos="-720"/>
        </w:tabs>
        <w:suppressAutoHyphens/>
      </w:pPr>
    </w:p>
    <w:p w:rsidR="00CE756E" w:rsidRDefault="00CE756E" w:rsidP="00CE756E">
      <w:pPr>
        <w:pStyle w:val="ListBullet"/>
      </w:pPr>
      <w:r>
        <w:t>The privilege does not apply when a patient has an active workers’ compensation claim and a treating physician is asked to testify concerning, or to provide information relevant to, the worker</w:t>
      </w:r>
      <w:r w:rsidR="00F15A97">
        <w:t>’</w:t>
      </w:r>
      <w:r>
        <w:t>s occupational injury or illness.</w:t>
      </w:r>
      <w:r w:rsidR="00EF4702">
        <w:rPr>
          <w:rStyle w:val="FootnoteReference"/>
        </w:rPr>
        <w:footnoteReference w:id="5"/>
      </w:r>
      <w:r>
        <w:t xml:space="preserve">  </w:t>
      </w:r>
      <w:r>
        <w:rPr>
          <w:u w:val="single"/>
        </w:rPr>
        <w:t>See</w:t>
      </w:r>
      <w:r>
        <w:t xml:space="preserve"> </w:t>
      </w:r>
      <w:r>
        <w:rPr>
          <w:b/>
        </w:rPr>
        <w:t>WORKERS’ COMPENSATION</w:t>
      </w:r>
      <w:r>
        <w:t>.</w:t>
      </w:r>
    </w:p>
    <w:p w:rsidR="00CE756E" w:rsidRDefault="00CE756E" w:rsidP="00CE756E">
      <w:pPr>
        <w:tabs>
          <w:tab w:val="left" w:pos="-720"/>
        </w:tabs>
        <w:suppressAutoHyphens/>
      </w:pPr>
    </w:p>
    <w:p w:rsidR="00CE756E" w:rsidRDefault="00CE756E" w:rsidP="00CE756E">
      <w:pPr>
        <w:pStyle w:val="ListBullet"/>
      </w:pPr>
      <w:r>
        <w:t>Information communicated to a physician in an effort to unlawfully procure a controlled substance or to procure the administration of a controlled substance is deemed not to be a privileged communication.</w:t>
      </w:r>
      <w:r w:rsidR="00FC094B">
        <w:rPr>
          <w:rStyle w:val="FootnoteReference"/>
        </w:rPr>
        <w:footnoteReference w:id="6"/>
      </w:r>
    </w:p>
    <w:p w:rsidR="00CE756E" w:rsidRDefault="00CE756E" w:rsidP="00CE756E">
      <w:pPr>
        <w:tabs>
          <w:tab w:val="left" w:pos="-720"/>
        </w:tabs>
        <w:suppressAutoHyphens/>
      </w:pPr>
    </w:p>
    <w:p w:rsidR="00CE756E" w:rsidRDefault="00824CBD" w:rsidP="00CE756E">
      <w:pPr>
        <w:pStyle w:val="ListBullet"/>
      </w:pPr>
      <w:r>
        <w:t>The privilege may b</w:t>
      </w:r>
      <w:r w:rsidR="00BF68F5">
        <w:t>e</w:t>
      </w:r>
      <w:r w:rsidR="00AC0FC8">
        <w:t xml:space="preserve"> </w:t>
      </w:r>
      <w:r w:rsidR="00CE756E">
        <w:t>waived</w:t>
      </w:r>
      <w:r w:rsidR="009F7B7E">
        <w:t>, in the court’s discretion,</w:t>
      </w:r>
      <w:r w:rsidR="00CE756E">
        <w:t xml:space="preserve"> in involuntary civil commitment proceedings for chemical dependency</w:t>
      </w:r>
      <w:r w:rsidR="008B05D2">
        <w:rPr>
          <w:rStyle w:val="FootnoteReference"/>
        </w:rPr>
        <w:footnoteReference w:id="7"/>
      </w:r>
      <w:r w:rsidR="00CE756E">
        <w:t xml:space="preserve"> or mental illness</w:t>
      </w:r>
      <w:r w:rsidR="00E32D30">
        <w:t>,</w:t>
      </w:r>
      <w:r w:rsidR="008B05D2">
        <w:rPr>
          <w:rStyle w:val="FootnoteReference"/>
        </w:rPr>
        <w:footnoteReference w:id="8"/>
      </w:r>
      <w:r w:rsidR="00CE756E">
        <w:t xml:space="preserve"> and</w:t>
      </w:r>
      <w:r w:rsidR="00E32D30">
        <w:t xml:space="preserve"> the privilege</w:t>
      </w:r>
      <w:r w:rsidR="00CE756E">
        <w:t xml:space="preserve"> is waived in </w:t>
      </w:r>
      <w:r w:rsidR="00CE756E">
        <w:lastRenderedPageBreak/>
        <w:t>proceedings relating to the administration of anti-psychotic medications</w:t>
      </w:r>
      <w:r w:rsidR="002A1E3F">
        <w:t>.</w:t>
      </w:r>
      <w:r w:rsidR="00952EBD">
        <w:rPr>
          <w:rStyle w:val="FootnoteReference"/>
        </w:rPr>
        <w:footnoteReference w:id="9"/>
      </w:r>
      <w:r w:rsidR="00CE756E">
        <w:t xml:space="preserve">  </w:t>
      </w:r>
      <w:r w:rsidR="002A1E3F">
        <w:t xml:space="preserve">The </w:t>
      </w:r>
      <w:r w:rsidR="00CE756E">
        <w:t>waiver</w:t>
      </w:r>
      <w:r w:rsidR="008B05D2">
        <w:t>, however,</w:t>
      </w:r>
      <w:r w:rsidR="00CE756E">
        <w:t xml:space="preserve"> is limited to records or testimony relevant to evaluation of the detained person for purposes of the proceeding.</w:t>
      </w:r>
      <w:r w:rsidR="006812EA">
        <w:rPr>
          <w:rStyle w:val="FootnoteReference"/>
        </w:rPr>
        <w:footnoteReference w:id="10"/>
      </w:r>
    </w:p>
    <w:p w:rsidR="00203966" w:rsidRDefault="00203966" w:rsidP="00203966"/>
    <w:p w:rsidR="00CE756E" w:rsidRDefault="00FB6659" w:rsidP="00CE756E">
      <w:pPr>
        <w:pStyle w:val="ListBullet"/>
      </w:pPr>
      <w:r>
        <w:t>Neither the</w:t>
      </w:r>
      <w:r w:rsidR="00CE756E">
        <w:t xml:space="preserve"> victim</w:t>
      </w:r>
      <w:r>
        <w:t xml:space="preserve"> nor the alleged perpetrator</w:t>
      </w:r>
      <w:r w:rsidR="00CE756E">
        <w:t xml:space="preserve"> of a crime can assert the privilege to prevent the State from offering evidence of the victim’s injuries or other evidence of the crime.</w:t>
      </w:r>
      <w:r w:rsidR="00071DBA">
        <w:rPr>
          <w:rStyle w:val="FootnoteReference"/>
        </w:rPr>
        <w:footnoteReference w:id="11"/>
      </w:r>
    </w:p>
    <w:p w:rsidR="00CE756E" w:rsidRDefault="00CE756E" w:rsidP="00CE756E">
      <w:pPr>
        <w:tabs>
          <w:tab w:val="left" w:pos="-720"/>
        </w:tabs>
        <w:suppressAutoHyphens/>
      </w:pPr>
    </w:p>
    <w:p w:rsidR="00CE756E" w:rsidRDefault="00CE756E" w:rsidP="00CE756E">
      <w:pPr>
        <w:pStyle w:val="ListBullet"/>
      </w:pPr>
      <w:r>
        <w:t>The pri</w:t>
      </w:r>
      <w:r w:rsidR="00076A73">
        <w:t>vilege does not prevent a court</w:t>
      </w:r>
      <w:r w:rsidR="00076A73">
        <w:t>-</w:t>
      </w:r>
      <w:r>
        <w:t xml:space="preserve">appointed investigator from </w:t>
      </w:r>
      <w:r w:rsidR="00B773F0">
        <w:t>obtaining</w:t>
      </w:r>
      <w:r>
        <w:t xml:space="preserve"> a child’s medical </w:t>
      </w:r>
      <w:r w:rsidR="00B773F0">
        <w:t>information</w:t>
      </w:r>
      <w:r>
        <w:t xml:space="preserve"> in a custody dispute, but the child’s permission is</w:t>
      </w:r>
      <w:r w:rsidR="00B773F0">
        <w:t xml:space="preserve"> generally</w:t>
      </w:r>
      <w:r>
        <w:t xml:space="preserve"> required if the child is age 12 or older.</w:t>
      </w:r>
      <w:r w:rsidR="0061266B">
        <w:rPr>
          <w:rStyle w:val="FootnoteReference"/>
        </w:rPr>
        <w:footnoteReference w:id="12"/>
      </w:r>
    </w:p>
    <w:p w:rsidR="00CE756E" w:rsidRDefault="00CE756E" w:rsidP="00CE756E">
      <w:pPr>
        <w:tabs>
          <w:tab w:val="left" w:pos="-720"/>
        </w:tabs>
        <w:suppressAutoHyphens/>
      </w:pPr>
    </w:p>
    <w:p w:rsidR="00CE756E" w:rsidRDefault="00CE756E" w:rsidP="00CE756E">
      <w:pPr>
        <w:pStyle w:val="Heading2"/>
      </w:pPr>
      <w:r>
        <w:t>Who is bound by the physician-patient privilege?</w:t>
      </w:r>
    </w:p>
    <w:p w:rsidR="00CE756E" w:rsidRDefault="00CE756E" w:rsidP="00CE756E">
      <w:pPr>
        <w:keepNext/>
        <w:keepLines/>
        <w:widowControl w:val="0"/>
        <w:tabs>
          <w:tab w:val="left" w:pos="-720"/>
        </w:tabs>
        <w:suppressAutoHyphens/>
      </w:pPr>
    </w:p>
    <w:p w:rsidR="00CE756E" w:rsidRDefault="00CE756E" w:rsidP="00CE756E">
      <w:pPr>
        <w:tabs>
          <w:tab w:val="left" w:pos="-720"/>
        </w:tabs>
        <w:suppressAutoHyphens/>
      </w:pPr>
      <w:r>
        <w:tab/>
        <w:t>The physician and any agents or employees of the physician who have access to the patient’s health care information are bound by the privilege.</w:t>
      </w:r>
      <w:r w:rsidR="002A5779">
        <w:rPr>
          <w:rStyle w:val="FootnoteReference"/>
        </w:rPr>
        <w:footnoteReference w:id="13"/>
      </w:r>
    </w:p>
    <w:p w:rsidR="00CE756E" w:rsidRDefault="00CE756E" w:rsidP="00CE756E">
      <w:pPr>
        <w:tabs>
          <w:tab w:val="left" w:pos="-720"/>
        </w:tabs>
        <w:suppressAutoHyphens/>
      </w:pPr>
    </w:p>
    <w:p w:rsidR="00CE756E" w:rsidRDefault="00CE756E" w:rsidP="00CE756E">
      <w:pPr>
        <w:pStyle w:val="Heading2"/>
      </w:pPr>
      <w:r>
        <w:t>When does the physician</w:t>
      </w:r>
      <w:r>
        <w:noBreakHyphen/>
        <w:t>patient privilege arise?</w:t>
      </w:r>
    </w:p>
    <w:p w:rsidR="00CE756E" w:rsidRDefault="00CE756E" w:rsidP="00CE756E">
      <w:pPr>
        <w:keepNext/>
        <w:keepLines/>
        <w:widowControl w:val="0"/>
        <w:tabs>
          <w:tab w:val="left" w:pos="-720"/>
        </w:tabs>
        <w:suppressAutoHyphens/>
      </w:pPr>
    </w:p>
    <w:p w:rsidR="00CE756E" w:rsidRDefault="00CE756E" w:rsidP="00CE756E">
      <w:pPr>
        <w:tabs>
          <w:tab w:val="left" w:pos="-720"/>
        </w:tabs>
        <w:suppressAutoHyphens/>
      </w:pPr>
      <w:r>
        <w:tab/>
        <w:t>In general, the physician</w:t>
      </w:r>
      <w:r>
        <w:noBreakHyphen/>
        <w:t>patient privilege arises when a person consults a physician for treatment or medical advice.  Whether a physician-patient relationship is created depends on whether the patient believes that the patient’s contact with the physician was for the purposes of treatment.</w:t>
      </w:r>
      <w:r w:rsidR="00FE59C1">
        <w:rPr>
          <w:rStyle w:val="FootnoteReference"/>
        </w:rPr>
        <w:footnoteReference w:id="14"/>
      </w:r>
      <w:r>
        <w:t xml:space="preserve">  Therefore, each situation is highly dependent on the facts.  </w:t>
      </w:r>
      <w:r>
        <w:rPr>
          <w:u w:val="single"/>
        </w:rPr>
        <w:t>See</w:t>
      </w:r>
      <w:r>
        <w:t xml:space="preserve"> </w:t>
      </w:r>
      <w:r>
        <w:rPr>
          <w:b/>
        </w:rPr>
        <w:t>PHYSICIAN-PATIENT RELATIONSHIP</w:t>
      </w:r>
      <w:r>
        <w:t>.</w:t>
      </w:r>
    </w:p>
    <w:p w:rsidR="00CE756E" w:rsidRDefault="00CE756E" w:rsidP="00CE756E">
      <w:pPr>
        <w:tabs>
          <w:tab w:val="left" w:pos="-720"/>
        </w:tabs>
        <w:suppressAutoHyphens/>
      </w:pPr>
    </w:p>
    <w:p w:rsidR="00CE756E" w:rsidRDefault="00CE756E" w:rsidP="00CE756E">
      <w:pPr>
        <w:pStyle w:val="Heading2"/>
      </w:pPr>
      <w:r>
        <w:t>Who may waive the physician</w:t>
      </w:r>
      <w:r>
        <w:noBreakHyphen/>
        <w:t>patient privilege?</w:t>
      </w:r>
    </w:p>
    <w:p w:rsidR="00CE756E" w:rsidRDefault="00CE756E" w:rsidP="00CE756E">
      <w:pPr>
        <w:keepNext/>
        <w:keepLines/>
        <w:widowControl w:val="0"/>
        <w:tabs>
          <w:tab w:val="left" w:pos="-720"/>
        </w:tabs>
        <w:suppressAutoHyphens/>
      </w:pPr>
    </w:p>
    <w:p w:rsidR="00CE756E" w:rsidRDefault="00CE756E" w:rsidP="00CE756E">
      <w:pPr>
        <w:tabs>
          <w:tab w:val="left" w:pos="-720"/>
        </w:tabs>
        <w:suppressAutoHyphens/>
      </w:pPr>
      <w:r>
        <w:tab/>
        <w:t>The privilege belongs to the patient and, except where the privilege is waived by law, only the patient or the patient’s legal representative may waive the privilege.</w:t>
      </w:r>
      <w:r w:rsidR="000D00C9">
        <w:rPr>
          <w:rStyle w:val="FootnoteReference"/>
        </w:rPr>
        <w:footnoteReference w:id="15"/>
      </w:r>
    </w:p>
    <w:p w:rsidR="00CE756E" w:rsidRDefault="00CE756E" w:rsidP="00CE756E">
      <w:pPr>
        <w:tabs>
          <w:tab w:val="left" w:pos="-720"/>
        </w:tabs>
        <w:suppressAutoHyphens/>
      </w:pPr>
    </w:p>
    <w:p w:rsidR="00CE756E" w:rsidRDefault="00CE756E" w:rsidP="00CE756E">
      <w:pPr>
        <w:pStyle w:val="Heading2"/>
      </w:pPr>
      <w:r>
        <w:lastRenderedPageBreak/>
        <w:t>Does the physician</w:t>
      </w:r>
      <w:r>
        <w:noBreakHyphen/>
        <w:t>patient privilege terminate upon the patient’s death?</w:t>
      </w:r>
    </w:p>
    <w:p w:rsidR="00CE756E" w:rsidRDefault="00CE756E" w:rsidP="00CE756E">
      <w:pPr>
        <w:keepNext/>
        <w:keepLines/>
        <w:widowControl w:val="0"/>
        <w:tabs>
          <w:tab w:val="left" w:pos="-720"/>
        </w:tabs>
        <w:suppressAutoHyphens/>
      </w:pPr>
    </w:p>
    <w:p w:rsidR="00CE756E" w:rsidRDefault="00CE756E" w:rsidP="00CE756E">
      <w:pPr>
        <w:tabs>
          <w:tab w:val="left" w:pos="-720"/>
        </w:tabs>
        <w:suppressAutoHyphens/>
      </w:pPr>
      <w:r>
        <w:tab/>
        <w:t>No.  Except where the privilege is waived by law, only the personal representative</w:t>
      </w:r>
      <w:r w:rsidR="00EF047E">
        <w:t xml:space="preserve"> or an heir</w:t>
      </w:r>
      <w:r>
        <w:t xml:space="preserve"> of the patient’s estate may waive the privilege after the patient’s death.</w:t>
      </w:r>
      <w:r w:rsidR="00D30374">
        <w:rPr>
          <w:rStyle w:val="FootnoteReference"/>
        </w:rPr>
        <w:footnoteReference w:id="16"/>
      </w:r>
    </w:p>
    <w:p w:rsidR="00CE756E" w:rsidRDefault="00CE756E" w:rsidP="00CE756E">
      <w:pPr>
        <w:tabs>
          <w:tab w:val="left" w:pos="-720"/>
        </w:tabs>
        <w:suppressAutoHyphens/>
      </w:pPr>
    </w:p>
    <w:p w:rsidR="00CE756E" w:rsidRDefault="00CE756E" w:rsidP="00CE756E">
      <w:pPr>
        <w:pStyle w:val="Heading2"/>
      </w:pPr>
      <w:r>
        <w:t>When may medical records or privileged health care information be disclosed?</w:t>
      </w:r>
    </w:p>
    <w:p w:rsidR="00CE756E" w:rsidRDefault="00CE756E" w:rsidP="00CE756E">
      <w:pPr>
        <w:keepNext/>
        <w:keepLines/>
        <w:widowControl w:val="0"/>
        <w:tabs>
          <w:tab w:val="left" w:pos="-720"/>
        </w:tabs>
        <w:suppressAutoHyphens/>
      </w:pPr>
    </w:p>
    <w:p w:rsidR="00CE756E" w:rsidRDefault="00CE756E" w:rsidP="00CE756E">
      <w:pPr>
        <w:tabs>
          <w:tab w:val="left" w:pos="-720"/>
        </w:tabs>
        <w:suppressAutoHyphens/>
      </w:pPr>
      <w:r>
        <w:tab/>
      </w:r>
      <w:r>
        <w:rPr>
          <w:u w:val="single"/>
        </w:rPr>
        <w:t>See</w:t>
      </w:r>
      <w:r>
        <w:t xml:space="preserve"> </w:t>
      </w:r>
      <w:r>
        <w:rPr>
          <w:b/>
        </w:rPr>
        <w:t>DISCLOSURE OF HEALTH CARE INFORMATION</w:t>
      </w:r>
      <w:r>
        <w:t>.</w:t>
      </w:r>
    </w:p>
    <w:p w:rsidR="00CE756E" w:rsidRDefault="00CE756E" w:rsidP="00CE756E">
      <w:pPr>
        <w:tabs>
          <w:tab w:val="left" w:pos="-720"/>
        </w:tabs>
        <w:suppressAutoHyphens/>
      </w:pPr>
    </w:p>
    <w:p w:rsidR="00CE756E" w:rsidRDefault="00CE756E" w:rsidP="00CE756E">
      <w:pPr>
        <w:pStyle w:val="Heading2"/>
      </w:pPr>
      <w:r>
        <w:t>May medical records and privileged health care information be released in response to a subpoena?</w:t>
      </w:r>
    </w:p>
    <w:p w:rsidR="00CE756E" w:rsidRDefault="00CE756E" w:rsidP="00CE756E">
      <w:pPr>
        <w:keepNext/>
        <w:keepLines/>
        <w:widowControl w:val="0"/>
        <w:tabs>
          <w:tab w:val="left" w:pos="-720"/>
        </w:tabs>
        <w:suppressAutoHyphens/>
      </w:pPr>
    </w:p>
    <w:p w:rsidR="004B5A82" w:rsidRDefault="00CE756E" w:rsidP="00CE756E">
      <w:r>
        <w:tab/>
      </w:r>
      <w:proofErr w:type="gramStart"/>
      <w:r>
        <w:t>Under certain circumstances, yes.</w:t>
      </w:r>
      <w:proofErr w:type="gramEnd"/>
      <w:r>
        <w:t xml:space="preserve">  </w:t>
      </w:r>
      <w:r>
        <w:rPr>
          <w:u w:val="single"/>
        </w:rPr>
        <w:t>See</w:t>
      </w:r>
      <w:r>
        <w:t xml:space="preserve"> </w:t>
      </w:r>
      <w:r>
        <w:rPr>
          <w:b/>
        </w:rPr>
        <w:t>DISCLOSURE OF HEALTH CARE INFORMATION</w:t>
      </w:r>
      <w:r>
        <w:t xml:space="preserve">; and </w:t>
      </w:r>
      <w:r>
        <w:rPr>
          <w:b/>
        </w:rPr>
        <w:t>SUBPOENAS</w:t>
      </w:r>
      <w:r>
        <w:t>.</w:t>
      </w:r>
    </w:p>
    <w:p w:rsidR="00C75425" w:rsidRDefault="00C75425" w:rsidP="00CE756E"/>
    <w:p w:rsidR="00C75425" w:rsidRDefault="00C75425" w:rsidP="00CE756E"/>
    <w:p w:rsidR="00C75425" w:rsidRDefault="00C75425" w:rsidP="00CE756E"/>
    <w:sectPr w:rsidR="00C754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63C3" w:rsidRDefault="001E63C3" w:rsidP="00A168E0">
      <w:r>
        <w:separator/>
      </w:r>
    </w:p>
  </w:endnote>
  <w:endnote w:type="continuationSeparator" w:id="0">
    <w:p w:rsidR="001E63C3" w:rsidRDefault="001E63C3" w:rsidP="00A16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63C3" w:rsidRDefault="001E63C3" w:rsidP="00A168E0">
      <w:r>
        <w:separator/>
      </w:r>
    </w:p>
  </w:footnote>
  <w:footnote w:type="continuationSeparator" w:id="0">
    <w:p w:rsidR="001E63C3" w:rsidRDefault="001E63C3" w:rsidP="00A168E0">
      <w:r>
        <w:continuationSeparator/>
      </w:r>
    </w:p>
  </w:footnote>
  <w:footnote w:id="1">
    <w:p w:rsidR="00A168E0" w:rsidRDefault="00A168E0">
      <w:pPr>
        <w:pStyle w:val="FootnoteText"/>
      </w:pPr>
      <w:r>
        <w:rPr>
          <w:rStyle w:val="FootnoteReference"/>
        </w:rPr>
        <w:footnoteRef/>
      </w:r>
      <w:r>
        <w:t xml:space="preserve"> </w:t>
      </w:r>
      <w:proofErr w:type="gramStart"/>
      <w:r>
        <w:t>RCW 5.60.060(4).</w:t>
      </w:r>
      <w:proofErr w:type="gramEnd"/>
    </w:p>
  </w:footnote>
  <w:footnote w:id="2">
    <w:p w:rsidR="00B91C84" w:rsidRDefault="00B91C84">
      <w:pPr>
        <w:pStyle w:val="FootnoteText"/>
      </w:pPr>
      <w:r>
        <w:rPr>
          <w:rStyle w:val="FootnoteReference"/>
        </w:rPr>
        <w:footnoteRef/>
      </w:r>
      <w:r>
        <w:t xml:space="preserve"> </w:t>
      </w:r>
      <w:proofErr w:type="gramStart"/>
      <w:r>
        <w:t xml:space="preserve">See State v. Gibson, 3 </w:t>
      </w:r>
      <w:proofErr w:type="spellStart"/>
      <w:r>
        <w:t>Wn</w:t>
      </w:r>
      <w:proofErr w:type="spellEnd"/>
      <w:r>
        <w:t xml:space="preserve">. App. 596, 598 (1970); </w:t>
      </w:r>
      <w:proofErr w:type="spellStart"/>
      <w:r>
        <w:t>Randa</w:t>
      </w:r>
      <w:proofErr w:type="spellEnd"/>
      <w:r>
        <w:t xml:space="preserve"> v. Bear, 50 Wn.2d 415, 420–21 (1957).</w:t>
      </w:r>
      <w:proofErr w:type="gramEnd"/>
      <w:r w:rsidR="00E35600">
        <w:t xml:space="preserve">  See also State v. Rochelle, 11 </w:t>
      </w:r>
      <w:proofErr w:type="spellStart"/>
      <w:r w:rsidR="00E35600">
        <w:t>Wn</w:t>
      </w:r>
      <w:proofErr w:type="spellEnd"/>
      <w:r w:rsidR="00E35600">
        <w:t>. App. 887, 892 (“</w:t>
      </w:r>
      <w:r w:rsidR="00E35600">
        <w:rPr>
          <w:szCs w:val="24"/>
        </w:rPr>
        <w:t>[A]</w:t>
      </w:r>
      <w:r w:rsidR="00E35600" w:rsidRPr="00725B8B">
        <w:rPr>
          <w:szCs w:val="24"/>
        </w:rPr>
        <w:t xml:space="preserve"> urinalysis performed pursuant to a physician's direction is a privileged communication between physician and patient</w:t>
      </w:r>
      <w:r w:rsidR="00E35600">
        <w:rPr>
          <w:szCs w:val="24"/>
        </w:rPr>
        <w:t>.”).</w:t>
      </w:r>
    </w:p>
  </w:footnote>
  <w:footnote w:id="3">
    <w:p w:rsidR="007E6D92" w:rsidRPr="00C503FF" w:rsidRDefault="007E6D92">
      <w:pPr>
        <w:pStyle w:val="FootnoteText"/>
      </w:pPr>
      <w:r>
        <w:rPr>
          <w:rStyle w:val="FootnoteReference"/>
        </w:rPr>
        <w:footnoteRef/>
      </w:r>
      <w:r>
        <w:t xml:space="preserve"> RCW 5.60.060(4</w:t>
      </w:r>
      <w:proofErr w:type="gramStart"/>
      <w:r>
        <w:t>)(</w:t>
      </w:r>
      <w:proofErr w:type="gramEnd"/>
      <w:r>
        <w:t>a).</w:t>
      </w:r>
      <w:r w:rsidR="00F329FC">
        <w:t xml:space="preserve">  See also RCW 26.44.030(1) (physician’s duty to report child abuse)</w:t>
      </w:r>
      <w:r w:rsidR="00C503FF">
        <w:t xml:space="preserve">; </w:t>
      </w:r>
      <w:r w:rsidR="00C503FF">
        <w:rPr>
          <w:i/>
        </w:rPr>
        <w:t>In re</w:t>
      </w:r>
      <w:r w:rsidR="00C503FF">
        <w:t xml:space="preserve"> Coverdell, 39 </w:t>
      </w:r>
      <w:proofErr w:type="spellStart"/>
      <w:r w:rsidR="00C503FF">
        <w:t>Wn</w:t>
      </w:r>
      <w:proofErr w:type="spellEnd"/>
      <w:r w:rsidR="00C503FF">
        <w:t>. App. 887, 891–93 (1984) (</w:t>
      </w:r>
      <w:r w:rsidR="002E3E0A">
        <w:t>mother’s hospital records regarding her mental health not privileged in dependency proceeding for her child).</w:t>
      </w:r>
    </w:p>
  </w:footnote>
  <w:footnote w:id="4">
    <w:p w:rsidR="00B862BD" w:rsidRDefault="00B862BD">
      <w:pPr>
        <w:pStyle w:val="FootnoteText"/>
      </w:pPr>
      <w:r>
        <w:rPr>
          <w:rStyle w:val="FootnoteReference"/>
        </w:rPr>
        <w:footnoteRef/>
      </w:r>
      <w:r>
        <w:t xml:space="preserve"> RCW 5.60.060(4</w:t>
      </w:r>
      <w:proofErr w:type="gramStart"/>
      <w:r>
        <w:t>)(</w:t>
      </w:r>
      <w:proofErr w:type="gramEnd"/>
      <w:r>
        <w:t>b).</w:t>
      </w:r>
    </w:p>
  </w:footnote>
  <w:footnote w:id="5">
    <w:p w:rsidR="00EF4702" w:rsidRDefault="00EF4702">
      <w:pPr>
        <w:pStyle w:val="FootnoteText"/>
      </w:pPr>
      <w:r>
        <w:rPr>
          <w:rStyle w:val="FootnoteReference"/>
        </w:rPr>
        <w:footnoteRef/>
      </w:r>
      <w:r>
        <w:t xml:space="preserve"> See RCW 51.36.060.</w:t>
      </w:r>
    </w:p>
  </w:footnote>
  <w:footnote w:id="6">
    <w:p w:rsidR="00FC094B" w:rsidRDefault="00FC094B">
      <w:pPr>
        <w:pStyle w:val="FootnoteText"/>
      </w:pPr>
      <w:r>
        <w:rPr>
          <w:rStyle w:val="FootnoteReference"/>
        </w:rPr>
        <w:footnoteRef/>
      </w:r>
      <w:r>
        <w:t xml:space="preserve"> </w:t>
      </w:r>
      <w:proofErr w:type="gramStart"/>
      <w:r>
        <w:t>RCW 69.50.403(2).</w:t>
      </w:r>
      <w:proofErr w:type="gramEnd"/>
    </w:p>
  </w:footnote>
  <w:footnote w:id="7">
    <w:p w:rsidR="008B05D2" w:rsidRDefault="008B05D2">
      <w:pPr>
        <w:pStyle w:val="FootnoteText"/>
      </w:pPr>
      <w:r>
        <w:rPr>
          <w:rStyle w:val="FootnoteReference"/>
        </w:rPr>
        <w:footnoteRef/>
      </w:r>
      <w:r>
        <w:t xml:space="preserve"> </w:t>
      </w:r>
      <w:r w:rsidR="00DC577E">
        <w:t xml:space="preserve">RCW </w:t>
      </w:r>
      <w:proofErr w:type="gramStart"/>
      <w:r w:rsidR="00DC577E">
        <w:t>70.96A.140(</w:t>
      </w:r>
      <w:proofErr w:type="gramEnd"/>
      <w:r w:rsidR="00DC577E">
        <w:t>3).</w:t>
      </w:r>
    </w:p>
  </w:footnote>
  <w:footnote w:id="8">
    <w:p w:rsidR="008B05D2" w:rsidRDefault="008B05D2">
      <w:pPr>
        <w:pStyle w:val="FootnoteText"/>
      </w:pPr>
      <w:r>
        <w:rPr>
          <w:rStyle w:val="FootnoteReference"/>
        </w:rPr>
        <w:footnoteRef/>
      </w:r>
      <w:r>
        <w:t xml:space="preserve"> </w:t>
      </w:r>
      <w:proofErr w:type="gramStart"/>
      <w:r>
        <w:t>RCW 71.05.360(9).</w:t>
      </w:r>
      <w:proofErr w:type="gramEnd"/>
    </w:p>
  </w:footnote>
  <w:footnote w:id="9">
    <w:p w:rsidR="00952EBD" w:rsidRDefault="00952EBD">
      <w:pPr>
        <w:pStyle w:val="FootnoteText"/>
      </w:pPr>
      <w:r>
        <w:rPr>
          <w:rStyle w:val="FootnoteReference"/>
        </w:rPr>
        <w:footnoteRef/>
      </w:r>
      <w:r>
        <w:t xml:space="preserve"> </w:t>
      </w:r>
      <w:proofErr w:type="gramStart"/>
      <w:r>
        <w:t>RCW 71.05.360(9).</w:t>
      </w:r>
      <w:proofErr w:type="gramEnd"/>
    </w:p>
  </w:footnote>
  <w:footnote w:id="10">
    <w:p w:rsidR="006812EA" w:rsidRDefault="006812EA">
      <w:pPr>
        <w:pStyle w:val="FootnoteText"/>
      </w:pPr>
      <w:r>
        <w:rPr>
          <w:rStyle w:val="FootnoteReference"/>
        </w:rPr>
        <w:footnoteRef/>
      </w:r>
      <w:r>
        <w:t xml:space="preserve"> RCW 71.05.360(9)</w:t>
      </w:r>
      <w:r w:rsidR="00A538C2">
        <w:t xml:space="preserve">; RCW </w:t>
      </w:r>
      <w:proofErr w:type="gramStart"/>
      <w:r w:rsidR="00A538C2">
        <w:t>70.96A.140(</w:t>
      </w:r>
      <w:proofErr w:type="gramEnd"/>
      <w:r w:rsidR="00A538C2">
        <w:t>3).</w:t>
      </w:r>
    </w:p>
  </w:footnote>
  <w:footnote w:id="11">
    <w:p w:rsidR="00071DBA" w:rsidRDefault="00071DBA">
      <w:pPr>
        <w:pStyle w:val="FootnoteText"/>
      </w:pPr>
      <w:r>
        <w:rPr>
          <w:rStyle w:val="FootnoteReference"/>
        </w:rPr>
        <w:footnoteRef/>
      </w:r>
      <w:r>
        <w:t xml:space="preserve"> </w:t>
      </w:r>
      <w:proofErr w:type="gramStart"/>
      <w:r>
        <w:t>See State v. Boehme, 71 Wn.2d 621, 635–37 (1967).</w:t>
      </w:r>
      <w:proofErr w:type="gramEnd"/>
      <w:r w:rsidR="008E55B0">
        <w:t xml:space="preserve">  See also State v. Smith, 84 </w:t>
      </w:r>
      <w:proofErr w:type="spellStart"/>
      <w:r w:rsidR="008E55B0">
        <w:t>Wn</w:t>
      </w:r>
      <w:proofErr w:type="spellEnd"/>
      <w:r w:rsidR="008E55B0">
        <w:t>. App. 813, 820–22 (1997) (</w:t>
      </w:r>
      <w:r w:rsidR="0042794C">
        <w:t>application of privilege in criminal case requires balancing test between benefit to privilege holder and public interest).</w:t>
      </w:r>
    </w:p>
  </w:footnote>
  <w:footnote w:id="12">
    <w:p w:rsidR="0061266B" w:rsidRDefault="0061266B">
      <w:pPr>
        <w:pStyle w:val="FootnoteText"/>
      </w:pPr>
      <w:r>
        <w:rPr>
          <w:rStyle w:val="FootnoteReference"/>
        </w:rPr>
        <w:footnoteRef/>
      </w:r>
      <w:r>
        <w:t xml:space="preserve"> </w:t>
      </w:r>
      <w:proofErr w:type="gramStart"/>
      <w:r>
        <w:t>RCW 26.09.220(2) (in dissolution proceedings); RCW 26.10.130(2) (in non-parental actions for custody).</w:t>
      </w:r>
      <w:proofErr w:type="gramEnd"/>
    </w:p>
  </w:footnote>
  <w:footnote w:id="13">
    <w:p w:rsidR="002A5779" w:rsidRDefault="002A5779">
      <w:pPr>
        <w:pStyle w:val="FootnoteText"/>
      </w:pPr>
      <w:r>
        <w:rPr>
          <w:rStyle w:val="FootnoteReference"/>
        </w:rPr>
        <w:footnoteRef/>
      </w:r>
      <w:r>
        <w:t xml:space="preserve"> See State v. Gibson, 3 </w:t>
      </w:r>
      <w:proofErr w:type="spellStart"/>
      <w:r>
        <w:t>Wn</w:t>
      </w:r>
      <w:proofErr w:type="spellEnd"/>
      <w:r>
        <w:t>. App. 596, 599–600 (1970) (privilege applies to physician’s agents</w:t>
      </w:r>
      <w:r w:rsidR="002F3F6E">
        <w:t>, which includes jail officer present for physician’s treatment of prisoner patient</w:t>
      </w:r>
      <w:r>
        <w:t>)</w:t>
      </w:r>
      <w:r w:rsidR="00AD4317">
        <w:t xml:space="preserve">; State v. </w:t>
      </w:r>
      <w:proofErr w:type="spellStart"/>
      <w:r w:rsidR="00AD4317">
        <w:t>Godsey</w:t>
      </w:r>
      <w:proofErr w:type="spellEnd"/>
      <w:r w:rsidR="00AD4317">
        <w:t xml:space="preserve">, 131 </w:t>
      </w:r>
      <w:proofErr w:type="spellStart"/>
      <w:r w:rsidR="00AD4317">
        <w:t>Wn</w:t>
      </w:r>
      <w:proofErr w:type="spellEnd"/>
      <w:r w:rsidR="00AD4317">
        <w:t>. App. 278, 286 (2006) (law officers present at hospital for defendant’s treatment were effectively hospital agents subject to the privilege when defendant confessed to drug use).</w:t>
      </w:r>
    </w:p>
  </w:footnote>
  <w:footnote w:id="14">
    <w:p w:rsidR="00FE59C1" w:rsidRDefault="00FE59C1">
      <w:pPr>
        <w:pStyle w:val="FootnoteText"/>
      </w:pPr>
      <w:r>
        <w:rPr>
          <w:rStyle w:val="FootnoteReference"/>
        </w:rPr>
        <w:footnoteRef/>
      </w:r>
      <w:r>
        <w:t xml:space="preserve"> </w:t>
      </w:r>
      <w:proofErr w:type="gramStart"/>
      <w:r>
        <w:t xml:space="preserve">State v. Gibson, 3 </w:t>
      </w:r>
      <w:proofErr w:type="spellStart"/>
      <w:r>
        <w:t>Wn</w:t>
      </w:r>
      <w:proofErr w:type="spellEnd"/>
      <w:r>
        <w:t>. App. 596, 598 (1970).</w:t>
      </w:r>
      <w:proofErr w:type="gramEnd"/>
    </w:p>
  </w:footnote>
  <w:footnote w:id="15">
    <w:p w:rsidR="000D00C9" w:rsidRDefault="000D00C9">
      <w:pPr>
        <w:pStyle w:val="FootnoteText"/>
      </w:pPr>
      <w:r>
        <w:rPr>
          <w:rStyle w:val="FootnoteReference"/>
        </w:rPr>
        <w:footnoteRef/>
      </w:r>
      <w:r>
        <w:t xml:space="preserve"> See State v. Rochelle, 11 </w:t>
      </w:r>
      <w:proofErr w:type="spellStart"/>
      <w:r>
        <w:t>Wn</w:t>
      </w:r>
      <w:proofErr w:type="spellEnd"/>
      <w:r>
        <w:t>. App. 887, 892–93 (1974) (patient waived privilege by having his physician testify at trial)</w:t>
      </w:r>
      <w:r w:rsidR="00D66CE7">
        <w:t xml:space="preserve">; State v. Smith, 84 </w:t>
      </w:r>
      <w:proofErr w:type="spellStart"/>
      <w:r w:rsidR="00D66CE7">
        <w:t>Wn</w:t>
      </w:r>
      <w:proofErr w:type="spellEnd"/>
      <w:r w:rsidR="00D66CE7">
        <w:t xml:space="preserve">. App. 813, 820 (1997) (defendant waived privilege when he testified </w:t>
      </w:r>
      <w:r w:rsidR="00F83518">
        <w:t xml:space="preserve">about matters </w:t>
      </w:r>
      <w:r w:rsidR="00C60973">
        <w:t>that would have fallen under privilege</w:t>
      </w:r>
      <w:r w:rsidR="000F3C74">
        <w:t xml:space="preserve">); </w:t>
      </w:r>
      <w:r w:rsidR="000F3C74">
        <w:rPr>
          <w:i/>
        </w:rPr>
        <w:t>In re</w:t>
      </w:r>
      <w:r w:rsidR="000F3C74">
        <w:t xml:space="preserve"> Estate of Thomas, 165 Wash. 42, 60 (1931) (patient’s personal representative or heir may waive privilege after patient’s death).</w:t>
      </w:r>
    </w:p>
  </w:footnote>
  <w:footnote w:id="16">
    <w:p w:rsidR="00D30374" w:rsidRPr="00D30374" w:rsidRDefault="00D30374">
      <w:pPr>
        <w:pStyle w:val="FootnoteText"/>
      </w:pPr>
      <w:r>
        <w:rPr>
          <w:rStyle w:val="FootnoteReference"/>
        </w:rPr>
        <w:footnoteRef/>
      </w:r>
      <w:r>
        <w:t xml:space="preserve"> See </w:t>
      </w:r>
      <w:r>
        <w:rPr>
          <w:i/>
        </w:rPr>
        <w:t>In re</w:t>
      </w:r>
      <w:r>
        <w:t xml:space="preserve"> Estate of Thomas</w:t>
      </w:r>
      <w:r w:rsidR="002A2AFA">
        <w:t>, 165 Wash. 42, 60 (1931).</w:t>
      </w:r>
      <w:bookmarkStart w:id="1" w:name="_GoBack"/>
      <w:bookmarkEnd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56E"/>
    <w:rsid w:val="00037BB2"/>
    <w:rsid w:val="00071DBA"/>
    <w:rsid w:val="0007345B"/>
    <w:rsid w:val="0007389A"/>
    <w:rsid w:val="00076A73"/>
    <w:rsid w:val="0008395F"/>
    <w:rsid w:val="0009742F"/>
    <w:rsid w:val="000A3C4D"/>
    <w:rsid w:val="000D00C9"/>
    <w:rsid w:val="000D6D52"/>
    <w:rsid w:val="000E08BD"/>
    <w:rsid w:val="000F0F18"/>
    <w:rsid w:val="000F1E68"/>
    <w:rsid w:val="000F3C74"/>
    <w:rsid w:val="00142726"/>
    <w:rsid w:val="00172437"/>
    <w:rsid w:val="001902D7"/>
    <w:rsid w:val="001A36E0"/>
    <w:rsid w:val="001A5A6D"/>
    <w:rsid w:val="001B46E2"/>
    <w:rsid w:val="001D0A6A"/>
    <w:rsid w:val="001D569E"/>
    <w:rsid w:val="001E63C3"/>
    <w:rsid w:val="00203966"/>
    <w:rsid w:val="0022228A"/>
    <w:rsid w:val="00233A48"/>
    <w:rsid w:val="00260940"/>
    <w:rsid w:val="002613A0"/>
    <w:rsid w:val="00265AD3"/>
    <w:rsid w:val="00267489"/>
    <w:rsid w:val="00276193"/>
    <w:rsid w:val="0027744E"/>
    <w:rsid w:val="0028472A"/>
    <w:rsid w:val="002A1E3F"/>
    <w:rsid w:val="002A2AFA"/>
    <w:rsid w:val="002A5779"/>
    <w:rsid w:val="002E3E0A"/>
    <w:rsid w:val="002E543B"/>
    <w:rsid w:val="002F3F6E"/>
    <w:rsid w:val="00311CE5"/>
    <w:rsid w:val="003258B8"/>
    <w:rsid w:val="00330D49"/>
    <w:rsid w:val="003333FF"/>
    <w:rsid w:val="00380160"/>
    <w:rsid w:val="00414254"/>
    <w:rsid w:val="0042794C"/>
    <w:rsid w:val="00441F2A"/>
    <w:rsid w:val="00450580"/>
    <w:rsid w:val="00454668"/>
    <w:rsid w:val="00476F71"/>
    <w:rsid w:val="0049550D"/>
    <w:rsid w:val="004A5A53"/>
    <w:rsid w:val="004D543A"/>
    <w:rsid w:val="004E6D92"/>
    <w:rsid w:val="00510BDF"/>
    <w:rsid w:val="00524885"/>
    <w:rsid w:val="005328BA"/>
    <w:rsid w:val="00544A9B"/>
    <w:rsid w:val="005702ED"/>
    <w:rsid w:val="0057784B"/>
    <w:rsid w:val="0058232C"/>
    <w:rsid w:val="00586160"/>
    <w:rsid w:val="005B7885"/>
    <w:rsid w:val="005C027C"/>
    <w:rsid w:val="005C1B0D"/>
    <w:rsid w:val="005E1232"/>
    <w:rsid w:val="0061266B"/>
    <w:rsid w:val="00630ABA"/>
    <w:rsid w:val="00642878"/>
    <w:rsid w:val="0067044E"/>
    <w:rsid w:val="00675945"/>
    <w:rsid w:val="006812EA"/>
    <w:rsid w:val="00697C71"/>
    <w:rsid w:val="006D5F97"/>
    <w:rsid w:val="00704304"/>
    <w:rsid w:val="00704A6B"/>
    <w:rsid w:val="00710B76"/>
    <w:rsid w:val="00721F82"/>
    <w:rsid w:val="007222E9"/>
    <w:rsid w:val="00727F76"/>
    <w:rsid w:val="00747AB6"/>
    <w:rsid w:val="0075572C"/>
    <w:rsid w:val="00777195"/>
    <w:rsid w:val="00793E5E"/>
    <w:rsid w:val="007A7B9A"/>
    <w:rsid w:val="007E6720"/>
    <w:rsid w:val="007E6C77"/>
    <w:rsid w:val="007E6D92"/>
    <w:rsid w:val="007F5910"/>
    <w:rsid w:val="0080059A"/>
    <w:rsid w:val="00815F68"/>
    <w:rsid w:val="0081679B"/>
    <w:rsid w:val="00824CBD"/>
    <w:rsid w:val="008703E9"/>
    <w:rsid w:val="00876708"/>
    <w:rsid w:val="008A3C4F"/>
    <w:rsid w:val="008A7FCF"/>
    <w:rsid w:val="008B05D2"/>
    <w:rsid w:val="008C3319"/>
    <w:rsid w:val="008E55B0"/>
    <w:rsid w:val="009232A9"/>
    <w:rsid w:val="00945F23"/>
    <w:rsid w:val="00952EBD"/>
    <w:rsid w:val="00956185"/>
    <w:rsid w:val="009711A6"/>
    <w:rsid w:val="009842F9"/>
    <w:rsid w:val="0099504A"/>
    <w:rsid w:val="0099682C"/>
    <w:rsid w:val="009A1D12"/>
    <w:rsid w:val="009B4D4D"/>
    <w:rsid w:val="009B6188"/>
    <w:rsid w:val="009C2BA0"/>
    <w:rsid w:val="009C3820"/>
    <w:rsid w:val="009F00FF"/>
    <w:rsid w:val="009F452D"/>
    <w:rsid w:val="009F7B7E"/>
    <w:rsid w:val="00A1567C"/>
    <w:rsid w:val="00A168E0"/>
    <w:rsid w:val="00A17259"/>
    <w:rsid w:val="00A34434"/>
    <w:rsid w:val="00A40D2F"/>
    <w:rsid w:val="00A538C2"/>
    <w:rsid w:val="00A61782"/>
    <w:rsid w:val="00A61F01"/>
    <w:rsid w:val="00A65969"/>
    <w:rsid w:val="00A74CF6"/>
    <w:rsid w:val="00A836A1"/>
    <w:rsid w:val="00AA0537"/>
    <w:rsid w:val="00AB2612"/>
    <w:rsid w:val="00AC0FC8"/>
    <w:rsid w:val="00AD4317"/>
    <w:rsid w:val="00AD568F"/>
    <w:rsid w:val="00AD6BAE"/>
    <w:rsid w:val="00AE0C59"/>
    <w:rsid w:val="00AE48FA"/>
    <w:rsid w:val="00B05990"/>
    <w:rsid w:val="00B14076"/>
    <w:rsid w:val="00B240D8"/>
    <w:rsid w:val="00B37A7A"/>
    <w:rsid w:val="00B549EC"/>
    <w:rsid w:val="00B735AD"/>
    <w:rsid w:val="00B773F0"/>
    <w:rsid w:val="00B77B81"/>
    <w:rsid w:val="00B862BD"/>
    <w:rsid w:val="00B87459"/>
    <w:rsid w:val="00B91C84"/>
    <w:rsid w:val="00BA0FB5"/>
    <w:rsid w:val="00BA42F2"/>
    <w:rsid w:val="00BB3558"/>
    <w:rsid w:val="00BB74F1"/>
    <w:rsid w:val="00BC01BF"/>
    <w:rsid w:val="00BC3C63"/>
    <w:rsid w:val="00BD5EF1"/>
    <w:rsid w:val="00BF68F5"/>
    <w:rsid w:val="00BF6E36"/>
    <w:rsid w:val="00C23CFA"/>
    <w:rsid w:val="00C503FF"/>
    <w:rsid w:val="00C5240E"/>
    <w:rsid w:val="00C54A61"/>
    <w:rsid w:val="00C5758D"/>
    <w:rsid w:val="00C60973"/>
    <w:rsid w:val="00C63C70"/>
    <w:rsid w:val="00C75425"/>
    <w:rsid w:val="00C778F2"/>
    <w:rsid w:val="00C86B77"/>
    <w:rsid w:val="00CC07B8"/>
    <w:rsid w:val="00CC2EEE"/>
    <w:rsid w:val="00CE1DBC"/>
    <w:rsid w:val="00CE756E"/>
    <w:rsid w:val="00D00FA4"/>
    <w:rsid w:val="00D0582D"/>
    <w:rsid w:val="00D30374"/>
    <w:rsid w:val="00D43E4E"/>
    <w:rsid w:val="00D66CE7"/>
    <w:rsid w:val="00D82EA6"/>
    <w:rsid w:val="00D84D26"/>
    <w:rsid w:val="00D87929"/>
    <w:rsid w:val="00D95B72"/>
    <w:rsid w:val="00DA0D5C"/>
    <w:rsid w:val="00DA1575"/>
    <w:rsid w:val="00DC0224"/>
    <w:rsid w:val="00DC577E"/>
    <w:rsid w:val="00DC7231"/>
    <w:rsid w:val="00E10870"/>
    <w:rsid w:val="00E176AF"/>
    <w:rsid w:val="00E32D30"/>
    <w:rsid w:val="00E35600"/>
    <w:rsid w:val="00E45AC2"/>
    <w:rsid w:val="00E64660"/>
    <w:rsid w:val="00E71852"/>
    <w:rsid w:val="00E74351"/>
    <w:rsid w:val="00E74874"/>
    <w:rsid w:val="00E858BB"/>
    <w:rsid w:val="00E927D9"/>
    <w:rsid w:val="00E93CBF"/>
    <w:rsid w:val="00EA0F00"/>
    <w:rsid w:val="00EA7988"/>
    <w:rsid w:val="00EB64DF"/>
    <w:rsid w:val="00EE4D57"/>
    <w:rsid w:val="00EF02CF"/>
    <w:rsid w:val="00EF047E"/>
    <w:rsid w:val="00EF4702"/>
    <w:rsid w:val="00F07865"/>
    <w:rsid w:val="00F15A97"/>
    <w:rsid w:val="00F178B3"/>
    <w:rsid w:val="00F3181C"/>
    <w:rsid w:val="00F329FC"/>
    <w:rsid w:val="00F44582"/>
    <w:rsid w:val="00F46456"/>
    <w:rsid w:val="00F825C6"/>
    <w:rsid w:val="00F83518"/>
    <w:rsid w:val="00FA2AED"/>
    <w:rsid w:val="00FA3882"/>
    <w:rsid w:val="00FA4020"/>
    <w:rsid w:val="00FB4C44"/>
    <w:rsid w:val="00FB6659"/>
    <w:rsid w:val="00FC094B"/>
    <w:rsid w:val="00FC5BCD"/>
    <w:rsid w:val="00FD3A10"/>
    <w:rsid w:val="00FE0F87"/>
    <w:rsid w:val="00FE59C1"/>
    <w:rsid w:val="00FF4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56E"/>
    <w:pPr>
      <w:jc w:val="both"/>
    </w:pPr>
    <w:rPr>
      <w:rFonts w:eastAsia="Times New Roman" w:cs="Times New Roman"/>
      <w:snapToGrid w:val="0"/>
      <w:szCs w:val="20"/>
    </w:rPr>
  </w:style>
  <w:style w:type="paragraph" w:styleId="Heading1">
    <w:name w:val="heading 1"/>
    <w:basedOn w:val="Normal"/>
    <w:next w:val="Normal"/>
    <w:link w:val="Heading1Char"/>
    <w:qFormat/>
    <w:rsid w:val="00CE756E"/>
    <w:pPr>
      <w:keepNext/>
      <w:keepLines/>
      <w:widowControl w:val="0"/>
      <w:jc w:val="center"/>
      <w:outlineLvl w:val="0"/>
    </w:pPr>
    <w:rPr>
      <w:b/>
      <w:kern w:val="28"/>
    </w:rPr>
  </w:style>
  <w:style w:type="paragraph" w:styleId="Heading2">
    <w:name w:val="heading 2"/>
    <w:basedOn w:val="Normal"/>
    <w:next w:val="Normal"/>
    <w:link w:val="Heading2Char"/>
    <w:qFormat/>
    <w:rsid w:val="00CE756E"/>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756E"/>
    <w:rPr>
      <w:rFonts w:eastAsia="Times New Roman" w:cs="Times New Roman"/>
      <w:b/>
      <w:snapToGrid w:val="0"/>
      <w:kern w:val="28"/>
      <w:szCs w:val="20"/>
    </w:rPr>
  </w:style>
  <w:style w:type="character" w:customStyle="1" w:styleId="Heading2Char">
    <w:name w:val="Heading 2 Char"/>
    <w:basedOn w:val="DefaultParagraphFont"/>
    <w:link w:val="Heading2"/>
    <w:rsid w:val="00CE756E"/>
    <w:rPr>
      <w:rFonts w:eastAsia="Times New Roman" w:cs="Times New Roman"/>
      <w:b/>
      <w:snapToGrid w:val="0"/>
      <w:szCs w:val="20"/>
    </w:rPr>
  </w:style>
  <w:style w:type="paragraph" w:styleId="ListBullet">
    <w:name w:val="List Bullet"/>
    <w:basedOn w:val="Normal"/>
    <w:next w:val="Normal"/>
    <w:autoRedefine/>
    <w:semiHidden/>
    <w:rsid w:val="00CE756E"/>
    <w:pPr>
      <w:numPr>
        <w:numId w:val="1"/>
      </w:numPr>
    </w:pPr>
  </w:style>
  <w:style w:type="character" w:styleId="Hyperlink">
    <w:name w:val="Hyperlink"/>
    <w:basedOn w:val="DefaultParagraphFont"/>
    <w:uiPriority w:val="99"/>
    <w:semiHidden/>
    <w:unhideWhenUsed/>
    <w:rsid w:val="00F825C6"/>
    <w:rPr>
      <w:color w:val="0000FF"/>
      <w:u w:val="single"/>
    </w:rPr>
  </w:style>
  <w:style w:type="paragraph" w:styleId="FootnoteText">
    <w:name w:val="footnote text"/>
    <w:basedOn w:val="Normal"/>
    <w:link w:val="FootnoteTextChar"/>
    <w:uiPriority w:val="99"/>
    <w:semiHidden/>
    <w:unhideWhenUsed/>
    <w:rsid w:val="00A168E0"/>
    <w:rPr>
      <w:sz w:val="20"/>
    </w:rPr>
  </w:style>
  <w:style w:type="character" w:customStyle="1" w:styleId="FootnoteTextChar">
    <w:name w:val="Footnote Text Char"/>
    <w:basedOn w:val="DefaultParagraphFont"/>
    <w:link w:val="FootnoteText"/>
    <w:uiPriority w:val="99"/>
    <w:semiHidden/>
    <w:rsid w:val="00A168E0"/>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A168E0"/>
    <w:rPr>
      <w:vertAlign w:val="superscript"/>
    </w:rPr>
  </w:style>
  <w:style w:type="character" w:styleId="CommentReference">
    <w:name w:val="annotation reference"/>
    <w:basedOn w:val="DefaultParagraphFont"/>
    <w:uiPriority w:val="99"/>
    <w:semiHidden/>
    <w:unhideWhenUsed/>
    <w:rsid w:val="00D82EA6"/>
    <w:rPr>
      <w:sz w:val="16"/>
      <w:szCs w:val="16"/>
    </w:rPr>
  </w:style>
  <w:style w:type="paragraph" w:styleId="CommentText">
    <w:name w:val="annotation text"/>
    <w:basedOn w:val="Normal"/>
    <w:link w:val="CommentTextChar"/>
    <w:uiPriority w:val="99"/>
    <w:semiHidden/>
    <w:unhideWhenUsed/>
    <w:rsid w:val="00D82EA6"/>
    <w:rPr>
      <w:sz w:val="20"/>
    </w:rPr>
  </w:style>
  <w:style w:type="character" w:customStyle="1" w:styleId="CommentTextChar">
    <w:name w:val="Comment Text Char"/>
    <w:basedOn w:val="DefaultParagraphFont"/>
    <w:link w:val="CommentText"/>
    <w:uiPriority w:val="99"/>
    <w:semiHidden/>
    <w:rsid w:val="00D82EA6"/>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D82EA6"/>
    <w:rPr>
      <w:b/>
      <w:bCs/>
    </w:rPr>
  </w:style>
  <w:style w:type="character" w:customStyle="1" w:styleId="CommentSubjectChar">
    <w:name w:val="Comment Subject Char"/>
    <w:basedOn w:val="CommentTextChar"/>
    <w:link w:val="CommentSubject"/>
    <w:uiPriority w:val="99"/>
    <w:semiHidden/>
    <w:rsid w:val="00D82EA6"/>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D82EA6"/>
    <w:rPr>
      <w:rFonts w:ascii="Tahoma" w:hAnsi="Tahoma" w:cs="Tahoma"/>
      <w:sz w:val="16"/>
      <w:szCs w:val="16"/>
    </w:rPr>
  </w:style>
  <w:style w:type="character" w:customStyle="1" w:styleId="BalloonTextChar">
    <w:name w:val="Balloon Text Char"/>
    <w:basedOn w:val="DefaultParagraphFont"/>
    <w:link w:val="BalloonText"/>
    <w:uiPriority w:val="99"/>
    <w:semiHidden/>
    <w:rsid w:val="00D82EA6"/>
    <w:rPr>
      <w:rFonts w:ascii="Tahoma" w:eastAsia="Times New Roman" w:hAnsi="Tahoma" w:cs="Tahoma"/>
      <w:snapToGrid w:val="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56E"/>
    <w:pPr>
      <w:jc w:val="both"/>
    </w:pPr>
    <w:rPr>
      <w:rFonts w:eastAsia="Times New Roman" w:cs="Times New Roman"/>
      <w:snapToGrid w:val="0"/>
      <w:szCs w:val="20"/>
    </w:rPr>
  </w:style>
  <w:style w:type="paragraph" w:styleId="Heading1">
    <w:name w:val="heading 1"/>
    <w:basedOn w:val="Normal"/>
    <w:next w:val="Normal"/>
    <w:link w:val="Heading1Char"/>
    <w:qFormat/>
    <w:rsid w:val="00CE756E"/>
    <w:pPr>
      <w:keepNext/>
      <w:keepLines/>
      <w:widowControl w:val="0"/>
      <w:jc w:val="center"/>
      <w:outlineLvl w:val="0"/>
    </w:pPr>
    <w:rPr>
      <w:b/>
      <w:kern w:val="28"/>
    </w:rPr>
  </w:style>
  <w:style w:type="paragraph" w:styleId="Heading2">
    <w:name w:val="heading 2"/>
    <w:basedOn w:val="Normal"/>
    <w:next w:val="Normal"/>
    <w:link w:val="Heading2Char"/>
    <w:qFormat/>
    <w:rsid w:val="00CE756E"/>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756E"/>
    <w:rPr>
      <w:rFonts w:eastAsia="Times New Roman" w:cs="Times New Roman"/>
      <w:b/>
      <w:snapToGrid w:val="0"/>
      <w:kern w:val="28"/>
      <w:szCs w:val="20"/>
    </w:rPr>
  </w:style>
  <w:style w:type="character" w:customStyle="1" w:styleId="Heading2Char">
    <w:name w:val="Heading 2 Char"/>
    <w:basedOn w:val="DefaultParagraphFont"/>
    <w:link w:val="Heading2"/>
    <w:rsid w:val="00CE756E"/>
    <w:rPr>
      <w:rFonts w:eastAsia="Times New Roman" w:cs="Times New Roman"/>
      <w:b/>
      <w:snapToGrid w:val="0"/>
      <w:szCs w:val="20"/>
    </w:rPr>
  </w:style>
  <w:style w:type="paragraph" w:styleId="ListBullet">
    <w:name w:val="List Bullet"/>
    <w:basedOn w:val="Normal"/>
    <w:next w:val="Normal"/>
    <w:autoRedefine/>
    <w:semiHidden/>
    <w:rsid w:val="00CE756E"/>
    <w:pPr>
      <w:numPr>
        <w:numId w:val="1"/>
      </w:numPr>
    </w:pPr>
  </w:style>
  <w:style w:type="character" w:styleId="Hyperlink">
    <w:name w:val="Hyperlink"/>
    <w:basedOn w:val="DefaultParagraphFont"/>
    <w:uiPriority w:val="99"/>
    <w:semiHidden/>
    <w:unhideWhenUsed/>
    <w:rsid w:val="00F825C6"/>
    <w:rPr>
      <w:color w:val="0000FF"/>
      <w:u w:val="single"/>
    </w:rPr>
  </w:style>
  <w:style w:type="paragraph" w:styleId="FootnoteText">
    <w:name w:val="footnote text"/>
    <w:basedOn w:val="Normal"/>
    <w:link w:val="FootnoteTextChar"/>
    <w:uiPriority w:val="99"/>
    <w:semiHidden/>
    <w:unhideWhenUsed/>
    <w:rsid w:val="00A168E0"/>
    <w:rPr>
      <w:sz w:val="20"/>
    </w:rPr>
  </w:style>
  <w:style w:type="character" w:customStyle="1" w:styleId="FootnoteTextChar">
    <w:name w:val="Footnote Text Char"/>
    <w:basedOn w:val="DefaultParagraphFont"/>
    <w:link w:val="FootnoteText"/>
    <w:uiPriority w:val="99"/>
    <w:semiHidden/>
    <w:rsid w:val="00A168E0"/>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A168E0"/>
    <w:rPr>
      <w:vertAlign w:val="superscript"/>
    </w:rPr>
  </w:style>
  <w:style w:type="character" w:styleId="CommentReference">
    <w:name w:val="annotation reference"/>
    <w:basedOn w:val="DefaultParagraphFont"/>
    <w:uiPriority w:val="99"/>
    <w:semiHidden/>
    <w:unhideWhenUsed/>
    <w:rsid w:val="00D82EA6"/>
    <w:rPr>
      <w:sz w:val="16"/>
      <w:szCs w:val="16"/>
    </w:rPr>
  </w:style>
  <w:style w:type="paragraph" w:styleId="CommentText">
    <w:name w:val="annotation text"/>
    <w:basedOn w:val="Normal"/>
    <w:link w:val="CommentTextChar"/>
    <w:uiPriority w:val="99"/>
    <w:semiHidden/>
    <w:unhideWhenUsed/>
    <w:rsid w:val="00D82EA6"/>
    <w:rPr>
      <w:sz w:val="20"/>
    </w:rPr>
  </w:style>
  <w:style w:type="character" w:customStyle="1" w:styleId="CommentTextChar">
    <w:name w:val="Comment Text Char"/>
    <w:basedOn w:val="DefaultParagraphFont"/>
    <w:link w:val="CommentText"/>
    <w:uiPriority w:val="99"/>
    <w:semiHidden/>
    <w:rsid w:val="00D82EA6"/>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D82EA6"/>
    <w:rPr>
      <w:b/>
      <w:bCs/>
    </w:rPr>
  </w:style>
  <w:style w:type="character" w:customStyle="1" w:styleId="CommentSubjectChar">
    <w:name w:val="Comment Subject Char"/>
    <w:basedOn w:val="CommentTextChar"/>
    <w:link w:val="CommentSubject"/>
    <w:uiPriority w:val="99"/>
    <w:semiHidden/>
    <w:rsid w:val="00D82EA6"/>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D82EA6"/>
    <w:rPr>
      <w:rFonts w:ascii="Tahoma" w:hAnsi="Tahoma" w:cs="Tahoma"/>
      <w:sz w:val="16"/>
      <w:szCs w:val="16"/>
    </w:rPr>
  </w:style>
  <w:style w:type="character" w:customStyle="1" w:styleId="BalloonTextChar">
    <w:name w:val="Balloon Text Char"/>
    <w:basedOn w:val="DefaultParagraphFont"/>
    <w:link w:val="BalloonText"/>
    <w:uiPriority w:val="99"/>
    <w:semiHidden/>
    <w:rsid w:val="00D82EA6"/>
    <w:rPr>
      <w:rFonts w:ascii="Tahoma" w:eastAsia="Times New Roman" w:hAnsi="Tahoma" w:cs="Tahoma"/>
      <w:snapToGrid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customXml/item2.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DF7F8F-379F-4620-B109-C6882014169F}">
  <ds:schemaRefs>
    <ds:schemaRef ds:uri="http://schemas.openxmlformats.org/officeDocument/2006/bibliography"/>
  </ds:schemaRefs>
</ds:datastoreItem>
</file>

<file path=customXml/itemProps2.xml><?xml version="1.0" encoding="utf-8"?>
<ds:datastoreItem xmlns:ds="http://schemas.openxmlformats.org/officeDocument/2006/customXml" ds:itemID="{5C9C70F5-47B7-4AD8-8174-23EDA542763A}"/>
</file>

<file path=customXml/itemProps3.xml><?xml version="1.0" encoding="utf-8"?>
<ds:datastoreItem xmlns:ds="http://schemas.openxmlformats.org/officeDocument/2006/customXml" ds:itemID="{903485BA-107F-4604-9B3D-B64E57A75383}"/>
</file>

<file path=customXml/itemProps4.xml><?xml version="1.0" encoding="utf-8"?>
<ds:datastoreItem xmlns:ds="http://schemas.openxmlformats.org/officeDocument/2006/customXml" ds:itemID="{9DC20AAB-8E3C-4A86-852F-5949F80BFE98}"/>
</file>

<file path=docProps/app.xml><?xml version="1.0" encoding="utf-8"?>
<Properties xmlns="http://schemas.openxmlformats.org/officeDocument/2006/extended-properties" xmlns:vt="http://schemas.openxmlformats.org/officeDocument/2006/docPropsVTypes">
  <Template>Normal</Template>
  <TotalTime>13</TotalTime>
  <Pages>3</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3921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Walters</dc:creator>
  <cp:lastModifiedBy>Denny Maher</cp:lastModifiedBy>
  <cp:revision>3</cp:revision>
  <dcterms:created xsi:type="dcterms:W3CDTF">2012-11-20T21:48:00Z</dcterms:created>
  <dcterms:modified xsi:type="dcterms:W3CDTF">2012-11-20T22:01:00Z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