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601" w:rsidRDefault="00697601" w:rsidP="00697601">
      <w:pPr>
        <w:pStyle w:val="Heading1"/>
      </w:pPr>
      <w:bookmarkStart w:id="0" w:name="_Toc161565665"/>
      <w:r>
        <w:t>CONTROLLED SUBSTANCES</w:t>
      </w:r>
      <w:bookmarkEnd w:id="0"/>
    </w:p>
    <w:p w:rsidR="00697601" w:rsidRDefault="00697601" w:rsidP="00697601">
      <w:pPr>
        <w:keepNext/>
        <w:keepLines/>
        <w:widowControl w:val="0"/>
      </w:pPr>
    </w:p>
    <w:p w:rsidR="00697601" w:rsidRDefault="00697601" w:rsidP="00697601">
      <w:pPr>
        <w:keepNext/>
        <w:keepLines/>
        <w:widowControl w:val="0"/>
      </w:pPr>
    </w:p>
    <w:p w:rsidR="00697601" w:rsidRDefault="00697601" w:rsidP="00697601">
      <w:pPr>
        <w:pStyle w:val="Heading2"/>
      </w:pPr>
      <w:r>
        <w:t>What is a controlled substance?</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A controlled substance is a drug, substance</w:t>
      </w:r>
      <w:r w:rsidR="00030288">
        <w:t>,</w:t>
      </w:r>
      <w:r>
        <w:t xml:space="preserve"> or immediate precursor to a drug included in Schedules I </w:t>
      </w:r>
      <w:r w:rsidR="00537EC8">
        <w:t>through</w:t>
      </w:r>
      <w:r>
        <w:t xml:space="preserve"> V under federal and state law.</w:t>
      </w:r>
      <w:r w:rsidR="00F71203">
        <w:rPr>
          <w:rStyle w:val="FootnoteReference"/>
        </w:rPr>
        <w:footnoteReference w:id="1"/>
      </w:r>
    </w:p>
    <w:p w:rsidR="00697601" w:rsidRDefault="00697601" w:rsidP="00697601">
      <w:pPr>
        <w:tabs>
          <w:tab w:val="left" w:pos="-720"/>
        </w:tabs>
        <w:suppressAutoHyphens/>
      </w:pPr>
    </w:p>
    <w:p w:rsidR="00697601" w:rsidRDefault="00697601" w:rsidP="00697601">
      <w:pPr>
        <w:pStyle w:val="Heading2"/>
      </w:pPr>
      <w:r>
        <w:t>What are the characteristics of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 w:val="left" w:pos="0"/>
          <w:tab w:val="left" w:pos="720"/>
          <w:tab w:val="left" w:pos="1440"/>
          <w:tab w:val="left" w:pos="2160"/>
        </w:tabs>
        <w:suppressAutoHyphens/>
        <w:ind w:left="2880" w:hanging="2880"/>
      </w:pPr>
      <w:r>
        <w:rPr>
          <w:i/>
        </w:rPr>
        <w:tab/>
        <w:t>Schedule I:</w:t>
      </w:r>
      <w:r>
        <w:tab/>
      </w:r>
      <w:r>
        <w:tab/>
        <w:t xml:space="preserve">Substances having no </w:t>
      </w:r>
      <w:r w:rsidR="003970C5">
        <w:t xml:space="preserve">currently </w:t>
      </w:r>
      <w:r>
        <w:t>accepted medical use</w:t>
      </w:r>
      <w:r w:rsidR="008A1287">
        <w:t>s</w:t>
      </w:r>
      <w:r>
        <w:t xml:space="preserve"> in treatment in the U.S.</w:t>
      </w:r>
      <w:r w:rsidR="00F32CC1">
        <w:t>;</w:t>
      </w:r>
      <w:r>
        <w:t xml:space="preserve"> lacking</w:t>
      </w:r>
      <w:r w:rsidR="00890A27">
        <w:t xml:space="preserve"> accepted</w:t>
      </w:r>
      <w:r>
        <w:t xml:space="preserve"> safety for use in treatment under medical supervision</w:t>
      </w:r>
      <w:r w:rsidR="00F32CC1">
        <w:t>;</w:t>
      </w:r>
      <w:r>
        <w:t xml:space="preserve"> and having a high potential for abuse.</w:t>
      </w:r>
      <w:r w:rsidR="00937026">
        <w:rPr>
          <w:rStyle w:val="FootnoteReference"/>
        </w:rPr>
        <w:footnoteReference w:id="2"/>
      </w:r>
    </w:p>
    <w:p w:rsidR="00697601" w:rsidRDefault="00697601" w:rsidP="00697601">
      <w:pPr>
        <w:tabs>
          <w:tab w:val="left" w:pos="-720"/>
        </w:tabs>
        <w:suppressAutoHyphens/>
      </w:pPr>
    </w:p>
    <w:p w:rsidR="00697601" w:rsidRDefault="00697601" w:rsidP="00697601">
      <w:pPr>
        <w:tabs>
          <w:tab w:val="left" w:pos="-720"/>
          <w:tab w:val="left" w:pos="0"/>
          <w:tab w:val="left" w:pos="720"/>
          <w:tab w:val="left" w:pos="1440"/>
          <w:tab w:val="left" w:pos="2160"/>
        </w:tabs>
        <w:suppressAutoHyphens/>
        <w:ind w:left="2880" w:hanging="2880"/>
      </w:pPr>
      <w:r>
        <w:rPr>
          <w:i/>
        </w:rPr>
        <w:tab/>
        <w:t>Schedule II:</w:t>
      </w:r>
      <w:r>
        <w:tab/>
      </w:r>
      <w:r>
        <w:tab/>
        <w:t>Substances having currently accepted medical uses</w:t>
      </w:r>
      <w:r w:rsidR="00F133FB">
        <w:t xml:space="preserve"> in treatment in the U.S. (possibly with severe restrictions)</w:t>
      </w:r>
      <w:r w:rsidR="00F32CC1">
        <w:t>;</w:t>
      </w:r>
      <w:r w:rsidR="00F37866">
        <w:t xml:space="preserve"> </w:t>
      </w:r>
      <w:r w:rsidR="00623A45">
        <w:t xml:space="preserve">having </w:t>
      </w:r>
      <w:r>
        <w:t>a high potential for abuse</w:t>
      </w:r>
      <w:r w:rsidR="00F32CC1">
        <w:t>;</w:t>
      </w:r>
      <w:r>
        <w:t xml:space="preserve"> </w:t>
      </w:r>
      <w:r w:rsidR="007B33C2">
        <w:t>and</w:t>
      </w:r>
      <w:r w:rsidR="00F32CC1">
        <w:t>, if abused,</w:t>
      </w:r>
      <w:r w:rsidR="007B33C2">
        <w:t xml:space="preserve"> </w:t>
      </w:r>
      <w:r w:rsidR="00623A45">
        <w:t>leading</w:t>
      </w:r>
      <w:r w:rsidR="004962C8">
        <w:t xml:space="preserve"> potentially</w:t>
      </w:r>
      <w:r w:rsidR="00623A45">
        <w:t xml:space="preserve"> to</w:t>
      </w:r>
      <w:r>
        <w:t xml:space="preserve"> severe psychological or physical dependence.</w:t>
      </w:r>
      <w:r w:rsidR="007B33C2" w:rsidRPr="007B33C2">
        <w:rPr>
          <w:rStyle w:val="FootnoteReference"/>
        </w:rPr>
        <w:t xml:space="preserve"> </w:t>
      </w:r>
      <w:r w:rsidR="007B33C2">
        <w:rPr>
          <w:rStyle w:val="FootnoteReference"/>
        </w:rPr>
        <w:footnoteReference w:id="3"/>
      </w:r>
    </w:p>
    <w:p w:rsidR="00697601" w:rsidRDefault="00697601" w:rsidP="00697601">
      <w:pPr>
        <w:tabs>
          <w:tab w:val="left" w:pos="-720"/>
        </w:tabs>
        <w:suppressAutoHyphens/>
      </w:pPr>
    </w:p>
    <w:p w:rsidR="00697601" w:rsidRDefault="00697601" w:rsidP="00697601">
      <w:pPr>
        <w:tabs>
          <w:tab w:val="left" w:pos="-720"/>
          <w:tab w:val="left" w:pos="0"/>
          <w:tab w:val="left" w:pos="720"/>
          <w:tab w:val="left" w:pos="1440"/>
          <w:tab w:val="left" w:pos="2160"/>
        </w:tabs>
        <w:suppressAutoHyphens/>
        <w:ind w:left="2880" w:hanging="2880"/>
      </w:pPr>
      <w:r>
        <w:rPr>
          <w:i/>
        </w:rPr>
        <w:tab/>
        <w:t>Schedule III:</w:t>
      </w:r>
      <w:r>
        <w:tab/>
      </w:r>
      <w:r>
        <w:tab/>
        <w:t>Substances having currently accepted medical uses</w:t>
      </w:r>
      <w:r w:rsidR="00F32CC1">
        <w:t xml:space="preserve"> in treatment in the U.S.;</w:t>
      </w:r>
      <w:r>
        <w:t xml:space="preserve"> </w:t>
      </w:r>
      <w:r w:rsidR="00A8097D">
        <w:t xml:space="preserve">having </w:t>
      </w:r>
      <w:r>
        <w:t>a potential for abuse less than substances listed in Schedules I and II</w:t>
      </w:r>
      <w:r w:rsidR="00F32CC1">
        <w:t>;</w:t>
      </w:r>
      <w:r w:rsidR="00085DDB">
        <w:t xml:space="preserve"> and</w:t>
      </w:r>
      <w:r w:rsidR="00F32CC1">
        <w:t>, if abused,</w:t>
      </w:r>
      <w:r w:rsidR="00085DDB">
        <w:t xml:space="preserve"> </w:t>
      </w:r>
      <w:r>
        <w:t>lead</w:t>
      </w:r>
      <w:r w:rsidR="00A8097D">
        <w:t>ing</w:t>
      </w:r>
      <w:r w:rsidR="00085DDB">
        <w:t xml:space="preserve"> potentially</w:t>
      </w:r>
      <w:r>
        <w:t xml:space="preserve"> to moderate or low physical dependence or high psychological dependence.</w:t>
      </w:r>
      <w:r w:rsidR="00F7078B">
        <w:rPr>
          <w:rStyle w:val="FootnoteReference"/>
        </w:rPr>
        <w:footnoteReference w:id="4"/>
      </w:r>
    </w:p>
    <w:p w:rsidR="00697601" w:rsidRDefault="00697601" w:rsidP="00697601">
      <w:pPr>
        <w:tabs>
          <w:tab w:val="left" w:pos="-720"/>
        </w:tabs>
        <w:suppressAutoHyphens/>
      </w:pPr>
    </w:p>
    <w:p w:rsidR="00697601" w:rsidRDefault="00697601" w:rsidP="00697601">
      <w:pPr>
        <w:tabs>
          <w:tab w:val="left" w:pos="-720"/>
          <w:tab w:val="left" w:pos="0"/>
          <w:tab w:val="left" w:pos="720"/>
          <w:tab w:val="left" w:pos="1440"/>
          <w:tab w:val="left" w:pos="2160"/>
        </w:tabs>
        <w:suppressAutoHyphens/>
        <w:ind w:left="2880" w:hanging="2880"/>
      </w:pPr>
      <w:r>
        <w:rPr>
          <w:i/>
        </w:rPr>
        <w:tab/>
        <w:t>Schedule IV:</w:t>
      </w:r>
      <w:r>
        <w:tab/>
      </w:r>
      <w:r>
        <w:tab/>
        <w:t>Substances having currently accepted medical uses</w:t>
      </w:r>
      <w:r w:rsidR="00EA6B8B">
        <w:t xml:space="preserve"> in treatment in the U.S.</w:t>
      </w:r>
      <w:r w:rsidR="003B54F6">
        <w:t>;</w:t>
      </w:r>
      <w:r>
        <w:t xml:space="preserve"> </w:t>
      </w:r>
      <w:r w:rsidR="00EA6B8B">
        <w:t>having</w:t>
      </w:r>
      <w:r>
        <w:t xml:space="preserve"> a </w:t>
      </w:r>
      <w:r w:rsidR="00EA6B8B">
        <w:t xml:space="preserve">low </w:t>
      </w:r>
      <w:r>
        <w:t>potential for abuse</w:t>
      </w:r>
      <w:r w:rsidR="00EA6B8B">
        <w:t xml:space="preserve"> relative to</w:t>
      </w:r>
      <w:r>
        <w:t xml:space="preserve"> substances listed in Schedule III</w:t>
      </w:r>
      <w:r w:rsidR="003B54F6">
        <w:t>;</w:t>
      </w:r>
      <w:r>
        <w:t xml:space="preserve"> and</w:t>
      </w:r>
      <w:r w:rsidR="003B54F6">
        <w:t>, if abused,</w:t>
      </w:r>
      <w:r>
        <w:t xml:space="preserve"> lead</w:t>
      </w:r>
      <w:r w:rsidR="00295941">
        <w:t>ing potentially</w:t>
      </w:r>
      <w:r>
        <w:t xml:space="preserve"> to limited physical dependence or psychological dependence relative to the substances in Schedule III.</w:t>
      </w:r>
      <w:r w:rsidR="00BC608E">
        <w:rPr>
          <w:rStyle w:val="FootnoteReference"/>
        </w:rPr>
        <w:footnoteReference w:id="5"/>
      </w:r>
    </w:p>
    <w:p w:rsidR="00697601" w:rsidRDefault="00697601" w:rsidP="00697601">
      <w:pPr>
        <w:tabs>
          <w:tab w:val="left" w:pos="-720"/>
        </w:tabs>
        <w:suppressAutoHyphens/>
      </w:pPr>
    </w:p>
    <w:p w:rsidR="00697601" w:rsidRDefault="00697601" w:rsidP="00697601">
      <w:pPr>
        <w:tabs>
          <w:tab w:val="left" w:pos="-720"/>
          <w:tab w:val="left" w:pos="0"/>
          <w:tab w:val="left" w:pos="720"/>
          <w:tab w:val="left" w:pos="1440"/>
          <w:tab w:val="left" w:pos="2160"/>
        </w:tabs>
        <w:suppressAutoHyphens/>
        <w:ind w:left="2880" w:hanging="2880"/>
      </w:pPr>
      <w:r>
        <w:rPr>
          <w:i/>
        </w:rPr>
        <w:tab/>
        <w:t>Schedule V:</w:t>
      </w:r>
      <w:r>
        <w:tab/>
      </w:r>
      <w:r>
        <w:tab/>
        <w:t>Substances having currently accepted medical uses</w:t>
      </w:r>
      <w:r w:rsidR="00025DEB">
        <w:t xml:space="preserve"> in treatment in the U.S.</w:t>
      </w:r>
      <w:r w:rsidR="00DB067A">
        <w:t>;</w:t>
      </w:r>
      <w:r>
        <w:t xml:space="preserve"> </w:t>
      </w:r>
      <w:r w:rsidR="00025DEB">
        <w:t>having</w:t>
      </w:r>
      <w:r>
        <w:t xml:space="preserve"> a </w:t>
      </w:r>
      <w:r w:rsidR="00B32F05">
        <w:t xml:space="preserve">low </w:t>
      </w:r>
      <w:r>
        <w:t xml:space="preserve">potential for abuse </w:t>
      </w:r>
      <w:r w:rsidR="00B32F05">
        <w:t>relative to</w:t>
      </w:r>
      <w:r>
        <w:t xml:space="preserve"> substances listed in Schedule IV</w:t>
      </w:r>
      <w:r w:rsidR="00DB067A">
        <w:t>;</w:t>
      </w:r>
      <w:r w:rsidR="00B32F05">
        <w:t xml:space="preserve"> </w:t>
      </w:r>
      <w:r>
        <w:t>and</w:t>
      </w:r>
      <w:r w:rsidR="00DB067A">
        <w:t>, if abused,</w:t>
      </w:r>
      <w:r>
        <w:t xml:space="preserve"> </w:t>
      </w:r>
      <w:r w:rsidR="0047041C">
        <w:t>leading potentially to</w:t>
      </w:r>
      <w:r>
        <w:t xml:space="preserve"> limited physical dependence or psychological dependence relative to the controlled substances listed in Schedule IV.</w:t>
      </w:r>
      <w:r w:rsidR="00735043">
        <w:rPr>
          <w:rStyle w:val="FootnoteReference"/>
        </w:rPr>
        <w:footnoteReference w:id="6"/>
      </w:r>
    </w:p>
    <w:p w:rsidR="00697601" w:rsidRDefault="00697601" w:rsidP="00697601">
      <w:pPr>
        <w:tabs>
          <w:tab w:val="left" w:pos="-720"/>
        </w:tabs>
        <w:suppressAutoHyphens/>
      </w:pPr>
    </w:p>
    <w:p w:rsidR="00697601" w:rsidRDefault="00697601" w:rsidP="00697601">
      <w:pPr>
        <w:pStyle w:val="Heading2"/>
      </w:pPr>
      <w:r>
        <w:lastRenderedPageBreak/>
        <w:t>Must a physician be registered</w:t>
      </w:r>
      <w:r w:rsidR="002F597F">
        <w:t xml:space="preserve"> </w:t>
      </w:r>
      <w:r>
        <w:t>in order to prescribe, dispense</w:t>
      </w:r>
      <w:r w:rsidR="00B57E9B">
        <w:t>,</w:t>
      </w:r>
      <w:r>
        <w:t xml:space="preserve"> or administer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 xml:space="preserve">A physician must be registered with the </w:t>
      </w:r>
      <w:r w:rsidR="00031B29">
        <w:t>f</w:t>
      </w:r>
      <w:r>
        <w:t>ederal Drug Enforcement Administration (DEA) before prescribing, dispensing, administering</w:t>
      </w:r>
      <w:r w:rsidR="00031B29">
        <w:t>,</w:t>
      </w:r>
      <w:r>
        <w:t xml:space="preserve"> or distributing controlled substances, unless exempted from registration by federal regulation.</w:t>
      </w:r>
      <w:r w:rsidR="003A252D">
        <w:rPr>
          <w:rStyle w:val="FootnoteReference"/>
        </w:rPr>
        <w:footnoteReference w:id="7"/>
      </w:r>
      <w:r>
        <w:t xml:space="preserve">  Physicians who prescribe or dispense narcotics to patients for maintenance treatment or detoxification treatment must obtain a separate registration for that purpose.</w:t>
      </w:r>
      <w:r w:rsidR="002B19C1">
        <w:rPr>
          <w:rStyle w:val="FootnoteReference"/>
        </w:rPr>
        <w:footnoteReference w:id="8"/>
      </w:r>
      <w:r>
        <w:t xml:space="preserve">  Applications for registration may be obtained at any regional office of the DEA, or by writing to the Drug Enforcement Administration, </w:t>
      </w:r>
      <w:r w:rsidR="003D4A9F">
        <w:t>Attn: Registration Section/ODR</w:t>
      </w:r>
      <w:r>
        <w:t>, P.O. Box 2</w:t>
      </w:r>
      <w:r w:rsidR="003D4A9F">
        <w:t>639</w:t>
      </w:r>
      <w:r>
        <w:t xml:space="preserve">, </w:t>
      </w:r>
      <w:r w:rsidR="003D4A9F">
        <w:t>Springfield</w:t>
      </w:r>
      <w:r>
        <w:t xml:space="preserve">, </w:t>
      </w:r>
      <w:r w:rsidR="003D4A9F">
        <w:t>Virginia</w:t>
      </w:r>
      <w:r>
        <w:t xml:space="preserve"> 2</w:t>
      </w:r>
      <w:r w:rsidR="003D4A9F">
        <w:t>2152-2639</w:t>
      </w:r>
      <w:r>
        <w:t>, or by calling the DEA at 1-800-882-9539 (or 206-553-5443 locally).</w:t>
      </w:r>
      <w:r w:rsidR="00014CA1">
        <w:rPr>
          <w:rStyle w:val="FootnoteReference"/>
        </w:rPr>
        <w:footnoteReference w:id="9"/>
      </w:r>
    </w:p>
    <w:p w:rsidR="00DE58D1" w:rsidRDefault="00DE58D1" w:rsidP="00697601">
      <w:pPr>
        <w:tabs>
          <w:tab w:val="left" w:pos="-720"/>
        </w:tabs>
        <w:suppressAutoHyphens/>
      </w:pPr>
    </w:p>
    <w:p w:rsidR="00697601" w:rsidRDefault="00697601" w:rsidP="00697601">
      <w:pPr>
        <w:tabs>
          <w:tab w:val="left" w:pos="-720"/>
        </w:tabs>
        <w:suppressAutoHyphens/>
      </w:pPr>
      <w:r>
        <w:tab/>
        <w:t>Physicians licensed in the State of Washington are exempted from regist</w:t>
      </w:r>
      <w:r w:rsidR="00B8063B">
        <w:t>ering</w:t>
      </w:r>
      <w:r>
        <w:t xml:space="preserve"> with the State,</w:t>
      </w:r>
      <w:r w:rsidR="00B8063B">
        <w:rPr>
          <w:rStyle w:val="FootnoteReference"/>
        </w:rPr>
        <w:footnoteReference w:id="10"/>
      </w:r>
      <w:r>
        <w:t xml:space="preserve"> but this exemption may be revoked.</w:t>
      </w:r>
      <w:r w:rsidR="002354EB">
        <w:rPr>
          <w:rStyle w:val="FootnoteReference"/>
        </w:rPr>
        <w:footnoteReference w:id="11"/>
      </w:r>
    </w:p>
    <w:p w:rsidR="00F45021" w:rsidRDefault="00F45021" w:rsidP="00697601">
      <w:pPr>
        <w:tabs>
          <w:tab w:val="left" w:pos="-720"/>
        </w:tabs>
        <w:suppressAutoHyphens/>
      </w:pPr>
    </w:p>
    <w:p w:rsidR="00697601" w:rsidRDefault="00697601" w:rsidP="00697601">
      <w:pPr>
        <w:pStyle w:val="Heading2"/>
      </w:pPr>
      <w:r>
        <w:t>May</w:t>
      </w:r>
      <w:r w:rsidR="001A59E4">
        <w:t xml:space="preserve"> a physician’s controlled-substances</w:t>
      </w:r>
      <w:r>
        <w:t xml:space="preserve"> registration be suspended or revoked?</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Yes.  A physician’s federal registration may be suspended or revoked upon a finding that:</w:t>
      </w:r>
      <w:r w:rsidR="000B0BB8">
        <w:rPr>
          <w:rStyle w:val="FootnoteReference"/>
        </w:rPr>
        <w:footnoteReference w:id="12"/>
      </w:r>
      <w:r>
        <w:t xml:space="preserve"> </w:t>
      </w:r>
    </w:p>
    <w:p w:rsidR="00697601" w:rsidRDefault="00697601" w:rsidP="00697601">
      <w:pPr>
        <w:tabs>
          <w:tab w:val="left" w:pos="-720"/>
        </w:tabs>
        <w:suppressAutoHyphens/>
      </w:pPr>
    </w:p>
    <w:p w:rsidR="00697601" w:rsidRDefault="00697601" w:rsidP="00697601">
      <w:pPr>
        <w:pStyle w:val="ListBullet"/>
      </w:pPr>
      <w:r>
        <w:t>the physician materially falsified the registration application;</w:t>
      </w:r>
    </w:p>
    <w:p w:rsidR="00697601" w:rsidRDefault="00697601" w:rsidP="00697601">
      <w:pPr>
        <w:tabs>
          <w:tab w:val="left" w:pos="-720"/>
        </w:tabs>
        <w:suppressAutoHyphens/>
      </w:pPr>
    </w:p>
    <w:p w:rsidR="00697601" w:rsidRDefault="00697601" w:rsidP="00697601">
      <w:pPr>
        <w:pStyle w:val="ListBullet"/>
      </w:pPr>
      <w:r>
        <w:t>the physician has been convicted of a felony relating to any controlled substance;</w:t>
      </w:r>
    </w:p>
    <w:p w:rsidR="00697601" w:rsidRDefault="00697601" w:rsidP="00697601">
      <w:pPr>
        <w:tabs>
          <w:tab w:val="left" w:pos="-720"/>
        </w:tabs>
        <w:suppressAutoHyphens/>
      </w:pPr>
    </w:p>
    <w:p w:rsidR="00697601" w:rsidRDefault="00697601" w:rsidP="00697601">
      <w:pPr>
        <w:pStyle w:val="ListBullet"/>
      </w:pPr>
      <w:r>
        <w:t>the physician has had his or her state license</w:t>
      </w:r>
      <w:r w:rsidR="009759C5">
        <w:t xml:space="preserve"> or registration</w:t>
      </w:r>
      <w:r>
        <w:t xml:space="preserve"> suspended, revoked</w:t>
      </w:r>
      <w:r w:rsidR="00F3003D">
        <w:t>,</w:t>
      </w:r>
      <w:r>
        <w:t xml:space="preserve"> or denied by the state authority and is no longer authorized by the state to prescribe, dispense</w:t>
      </w:r>
      <w:r w:rsidR="0060640B">
        <w:t>,</w:t>
      </w:r>
      <w:r>
        <w:t xml:space="preserve"> or administer controlled substances or has had the suspension, revocation</w:t>
      </w:r>
      <w:r w:rsidR="00B53089">
        <w:t>,</w:t>
      </w:r>
      <w:r>
        <w:t xml:space="preserve"> or denial of the</w:t>
      </w:r>
      <w:r w:rsidR="005D233C">
        <w:t xml:space="preserve"> physician’s</w:t>
      </w:r>
      <w:r>
        <w:t xml:space="preserve"> registration recommended by a state authority;</w:t>
      </w:r>
    </w:p>
    <w:p w:rsidR="00697601" w:rsidRDefault="00697601" w:rsidP="00697601">
      <w:pPr>
        <w:tabs>
          <w:tab w:val="left" w:pos="-720"/>
        </w:tabs>
        <w:suppressAutoHyphens/>
      </w:pPr>
    </w:p>
    <w:p w:rsidR="00697601" w:rsidRDefault="00697601" w:rsidP="00697601">
      <w:pPr>
        <w:pStyle w:val="ListBullet"/>
      </w:pPr>
      <w:r>
        <w:t xml:space="preserve">the physician has committed acts </w:t>
      </w:r>
      <w:r w:rsidR="005D233C">
        <w:t>that</w:t>
      </w:r>
      <w:r w:rsidR="00845075">
        <w:t>, in the context of controlled substances,</w:t>
      </w:r>
      <w:r>
        <w:t xml:space="preserve"> would render his or her registration inconsistent with the public interest</w:t>
      </w:r>
      <w:r w:rsidR="008C7554">
        <w:t>; or</w:t>
      </w:r>
    </w:p>
    <w:p w:rsidR="008C7554" w:rsidRDefault="008C7554" w:rsidP="008C7554"/>
    <w:p w:rsidR="008C7554" w:rsidRPr="008C7554" w:rsidRDefault="008C7554" w:rsidP="008C7554">
      <w:pPr>
        <w:pStyle w:val="ListParagraph"/>
        <w:numPr>
          <w:ilvl w:val="0"/>
          <w:numId w:val="10"/>
        </w:numPr>
      </w:pPr>
      <w:proofErr w:type="gramStart"/>
      <w:r>
        <w:t>the</w:t>
      </w:r>
      <w:proofErr w:type="gramEnd"/>
      <w:r>
        <w:t xml:space="preserve"> physician has been excluded (or has been directed to be excluded) from participation in a federal health care program.</w:t>
      </w:r>
    </w:p>
    <w:p w:rsidR="00697601" w:rsidRDefault="00697601" w:rsidP="00697601">
      <w:pPr>
        <w:tabs>
          <w:tab w:val="left" w:pos="-720"/>
        </w:tabs>
        <w:suppressAutoHyphens/>
      </w:pPr>
    </w:p>
    <w:p w:rsidR="00697601" w:rsidRDefault="00697601" w:rsidP="00697601">
      <w:pPr>
        <w:tabs>
          <w:tab w:val="left" w:pos="-720"/>
        </w:tabs>
        <w:suppressAutoHyphens/>
      </w:pPr>
      <w:r>
        <w:tab/>
        <w:t>A registration to dispense narcotics for maintenance treatment or detoxification treatment may be suspended or revoked if the physician fails to comply with the specific requirements of the registration.</w:t>
      </w:r>
      <w:r w:rsidR="00D3212A">
        <w:rPr>
          <w:rStyle w:val="FootnoteReference"/>
        </w:rPr>
        <w:footnoteReference w:id="13"/>
      </w:r>
    </w:p>
    <w:p w:rsidR="00697601" w:rsidRDefault="00697601" w:rsidP="00697601">
      <w:pPr>
        <w:tabs>
          <w:tab w:val="left" w:pos="-720"/>
        </w:tabs>
        <w:suppressAutoHyphens/>
      </w:pPr>
    </w:p>
    <w:p w:rsidR="00697601" w:rsidRDefault="00697601" w:rsidP="00697601">
      <w:pPr>
        <w:tabs>
          <w:tab w:val="left" w:pos="-720"/>
        </w:tabs>
        <w:suppressAutoHyphens/>
      </w:pPr>
      <w:r>
        <w:lastRenderedPageBreak/>
        <w:tab/>
        <w:t>Under Washington law, a physician’s exemption from state registration requirements may be suspended or revoked, precluding the physician from prescribing, dispensing</w:t>
      </w:r>
      <w:r w:rsidR="00D4031B">
        <w:t>,</w:t>
      </w:r>
      <w:r>
        <w:t xml:space="preserve"> or administering controlled substances, upon a finding that:</w:t>
      </w:r>
      <w:r w:rsidR="00F732E5" w:rsidRPr="00F732E5">
        <w:rPr>
          <w:rStyle w:val="FootnoteReference"/>
        </w:rPr>
        <w:t xml:space="preserve"> </w:t>
      </w:r>
      <w:r w:rsidR="00F732E5">
        <w:rPr>
          <w:rStyle w:val="FootnoteReference"/>
        </w:rPr>
        <w:footnoteReference w:id="14"/>
      </w:r>
    </w:p>
    <w:p w:rsidR="004F6E87" w:rsidRDefault="004F6E87" w:rsidP="00697601">
      <w:pPr>
        <w:tabs>
          <w:tab w:val="left" w:pos="-720"/>
        </w:tabs>
        <w:suppressAutoHyphens/>
      </w:pPr>
    </w:p>
    <w:p w:rsidR="004F6E87" w:rsidRDefault="004F6E87" w:rsidP="004F6E87">
      <w:pPr>
        <w:pStyle w:val="ListParagraph"/>
        <w:numPr>
          <w:ilvl w:val="0"/>
          <w:numId w:val="10"/>
        </w:numPr>
        <w:tabs>
          <w:tab w:val="left" w:pos="-720"/>
        </w:tabs>
        <w:suppressAutoHyphens/>
      </w:pPr>
      <w:r>
        <w:t>the physician furnished false or fraudulent material information in a registration application</w:t>
      </w:r>
      <w:r w:rsidR="00AA1184">
        <w:t>;</w:t>
      </w:r>
    </w:p>
    <w:p w:rsidR="00697601" w:rsidRDefault="00697601" w:rsidP="00697601">
      <w:pPr>
        <w:tabs>
          <w:tab w:val="left" w:pos="-720"/>
        </w:tabs>
        <w:suppressAutoHyphens/>
      </w:pPr>
    </w:p>
    <w:p w:rsidR="00697601" w:rsidRDefault="00697601" w:rsidP="00697601">
      <w:pPr>
        <w:pStyle w:val="ListBullet"/>
      </w:pPr>
      <w:r>
        <w:t>the physician has been convicted of a felony under any state or federal law relating to any controlled substance;</w:t>
      </w:r>
    </w:p>
    <w:p w:rsidR="00697601" w:rsidRDefault="00697601" w:rsidP="00697601">
      <w:pPr>
        <w:tabs>
          <w:tab w:val="left" w:pos="-720"/>
        </w:tabs>
        <w:suppressAutoHyphens/>
      </w:pPr>
    </w:p>
    <w:p w:rsidR="00697601" w:rsidRDefault="00697601" w:rsidP="00697601">
      <w:pPr>
        <w:pStyle w:val="ListBullet"/>
      </w:pPr>
      <w:r>
        <w:t>the physician’s federal registration has been suspended or revoked; or</w:t>
      </w:r>
    </w:p>
    <w:p w:rsidR="00697601" w:rsidRDefault="00697601" w:rsidP="00697601">
      <w:pPr>
        <w:tabs>
          <w:tab w:val="left" w:pos="-720"/>
        </w:tabs>
        <w:suppressAutoHyphens/>
      </w:pPr>
    </w:p>
    <w:p w:rsidR="00697601" w:rsidRDefault="00697601" w:rsidP="00697601">
      <w:pPr>
        <w:pStyle w:val="ListBullet"/>
      </w:pPr>
      <w:proofErr w:type="gramStart"/>
      <w:r>
        <w:t>the</w:t>
      </w:r>
      <w:proofErr w:type="gramEnd"/>
      <w:r>
        <w:t xml:space="preserve"> physician committed acts that</w:t>
      </w:r>
      <w:r w:rsidR="00445CD6">
        <w:t>, in the context of controlled substances,</w:t>
      </w:r>
      <w:r>
        <w:t xml:space="preserve"> are inconsistent with the public interest.</w:t>
      </w:r>
      <w:r w:rsidR="00613AA0">
        <w:rPr>
          <w:rStyle w:val="FootnoteReference"/>
        </w:rPr>
        <w:footnoteReference w:id="15"/>
      </w:r>
    </w:p>
    <w:p w:rsidR="00697601" w:rsidRDefault="00697601" w:rsidP="00697601">
      <w:pPr>
        <w:tabs>
          <w:tab w:val="left" w:pos="-720"/>
        </w:tabs>
        <w:suppressAutoHyphens/>
      </w:pPr>
    </w:p>
    <w:p w:rsidR="00697601" w:rsidRDefault="00697601" w:rsidP="00697601">
      <w:pPr>
        <w:pStyle w:val="Heading2"/>
      </w:pPr>
      <w:r>
        <w:t>What are the recognized purposes for prescribing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Federal regulations specify the legitimate purposes for prescribing controlled substances as follows:</w:t>
      </w:r>
    </w:p>
    <w:p w:rsidR="00697601" w:rsidRDefault="00697601" w:rsidP="00697601">
      <w:pPr>
        <w:tabs>
          <w:tab w:val="left" w:pos="-720"/>
        </w:tabs>
        <w:suppressAutoHyphens/>
      </w:pPr>
    </w:p>
    <w:p w:rsidR="00697601" w:rsidRDefault="00697601" w:rsidP="00697601">
      <w:pPr>
        <w:pStyle w:val="ListBullet"/>
      </w:pPr>
      <w:r>
        <w:t>A prescription for a controlled substance is effective only if it is issued for a legitimate medical purpose by a physician acting in the usual course of his or her professional practice.</w:t>
      </w:r>
      <w:r w:rsidR="00324EE5">
        <w:rPr>
          <w:rStyle w:val="FootnoteReference"/>
        </w:rPr>
        <w:footnoteReference w:id="16"/>
      </w:r>
    </w:p>
    <w:p w:rsidR="00697601" w:rsidRDefault="00697601" w:rsidP="00697601">
      <w:pPr>
        <w:tabs>
          <w:tab w:val="left" w:pos="-720"/>
        </w:tabs>
        <w:suppressAutoHyphens/>
      </w:pPr>
    </w:p>
    <w:p w:rsidR="00697601" w:rsidRDefault="00697601" w:rsidP="00697601">
      <w:pPr>
        <w:pStyle w:val="ListBullet"/>
      </w:pPr>
      <w:r>
        <w:t>A prescription may not be issued in order for a physician to obtain controlled substances for general dispensing to patients.</w:t>
      </w:r>
      <w:r w:rsidR="006D04B7">
        <w:rPr>
          <w:rStyle w:val="FootnoteReference"/>
        </w:rPr>
        <w:footnoteReference w:id="17"/>
      </w:r>
      <w:r>
        <w:t xml:space="preserve">  </w:t>
      </w:r>
      <w:r w:rsidR="00927CE5">
        <w:t>A</w:t>
      </w:r>
      <w:r>
        <w:t xml:space="preserve"> physician must use DEA Form 222 or </w:t>
      </w:r>
      <w:r w:rsidR="00B3425E">
        <w:t>its</w:t>
      </w:r>
      <w:r>
        <w:t xml:space="preserve"> electronic </w:t>
      </w:r>
      <w:r w:rsidR="00B3425E">
        <w:t>equivalent</w:t>
      </w:r>
      <w:r w:rsidR="001847F7">
        <w:t xml:space="preserve"> </w:t>
      </w:r>
      <w:r>
        <w:t>to obtain</w:t>
      </w:r>
      <w:r w:rsidR="00C43FB2">
        <w:t xml:space="preserve"> Schedule I or II</w:t>
      </w:r>
      <w:r>
        <w:t xml:space="preserve"> controlled substances for office use through regular supply sources.</w:t>
      </w:r>
      <w:r w:rsidR="001F547D">
        <w:rPr>
          <w:rStyle w:val="FootnoteReference"/>
        </w:rPr>
        <w:footnoteReference w:id="18"/>
      </w:r>
      <w:r>
        <w:t xml:space="preserve">  A physician who orders controlled substances for use by all physicians in an office or clinic must register with the DEA as a distributor.</w:t>
      </w:r>
      <w:r w:rsidR="00F707E0">
        <w:rPr>
          <w:rStyle w:val="FootnoteReference"/>
        </w:rPr>
        <w:footnoteReference w:id="19"/>
      </w:r>
    </w:p>
    <w:p w:rsidR="00697601" w:rsidRDefault="00697601" w:rsidP="00697601">
      <w:pPr>
        <w:tabs>
          <w:tab w:val="left" w:pos="-720"/>
        </w:tabs>
        <w:suppressAutoHyphens/>
      </w:pPr>
    </w:p>
    <w:p w:rsidR="00697601" w:rsidRDefault="00697601" w:rsidP="00697601">
      <w:pPr>
        <w:pStyle w:val="ListBullet"/>
      </w:pPr>
      <w:r>
        <w:t>A physician may not issue prescriptions for detoxification or maintenance treatment unless</w:t>
      </w:r>
      <w:r w:rsidR="00D73895">
        <w:t xml:space="preserve"> the physician complies with certain other federal regulations</w:t>
      </w:r>
      <w:r w:rsidR="0047038E">
        <w:rPr>
          <w:rStyle w:val="FootnoteReference"/>
        </w:rPr>
        <w:footnoteReference w:id="20"/>
      </w:r>
      <w:r w:rsidR="00D73895">
        <w:t xml:space="preserve"> and t</w:t>
      </w:r>
      <w:r w:rsidR="00477CBE">
        <w:t>he prescription is for a Schedule III, IV, or V n</w:t>
      </w:r>
      <w:r w:rsidR="00D73895">
        <w:t>arcotic drug approved by the federal Food and Drug Administration (FDA) specifi</w:t>
      </w:r>
      <w:r w:rsidR="00794C3D">
        <w:t>cally for this kind of use</w:t>
      </w:r>
      <w:r w:rsidR="00D73895">
        <w:t>.</w:t>
      </w:r>
      <w:r w:rsidR="00D15ADF">
        <w:rPr>
          <w:rStyle w:val="FootnoteReference"/>
        </w:rPr>
        <w:footnoteReference w:id="21"/>
      </w:r>
      <w:r>
        <w:t xml:space="preserve">. </w:t>
      </w:r>
      <w:r w:rsidR="006F7064">
        <w:t xml:space="preserve"> A physician may administer or dispense directly (but not prescribe) a narcotic drug to a narcotic</w:t>
      </w:r>
      <w:r w:rsidR="009B66F3">
        <w:t>-</w:t>
      </w:r>
      <w:r w:rsidR="006F7064">
        <w:t>dependent person for maintenance or detoxification treatment if the physician is separately registered with the DEA as a narcotic treatment program and</w:t>
      </w:r>
      <w:r w:rsidR="00B5124A">
        <w:t xml:space="preserve"> </w:t>
      </w:r>
      <w:r w:rsidR="00C91618">
        <w:t xml:space="preserve">the physician </w:t>
      </w:r>
      <w:r w:rsidR="00B5124A">
        <w:t>complies with DEA regulations regarding treatment qualifications, security, records, and unsupervised use of the drugs.</w:t>
      </w:r>
      <w:r w:rsidR="00947460">
        <w:rPr>
          <w:rStyle w:val="FootnoteReference"/>
        </w:rPr>
        <w:footnoteReference w:id="22"/>
      </w:r>
      <w:r w:rsidR="006F7064">
        <w:t xml:space="preserve"> </w:t>
      </w:r>
      <w:r>
        <w:lastRenderedPageBreak/>
        <w:t>However, a physician</w:t>
      </w:r>
      <w:r w:rsidR="00623885">
        <w:t xml:space="preserve"> not registered as a narcotic treatment program</w:t>
      </w:r>
      <w:r>
        <w:t xml:space="preserve"> can administer (but not prescribe) narcotic drugs to a patient daily for up to three days</w:t>
      </w:r>
      <w:r w:rsidR="00303081">
        <w:t xml:space="preserve"> to relieve acute withdrawal symptoms</w:t>
      </w:r>
      <w:r>
        <w:t xml:space="preserve"> while arrangements are being made for referral to an existing narcotic treatment program.</w:t>
      </w:r>
      <w:r w:rsidR="00303081">
        <w:rPr>
          <w:rStyle w:val="FootnoteReference"/>
        </w:rPr>
        <w:footnoteReference w:id="23"/>
      </w:r>
    </w:p>
    <w:p w:rsidR="00697601" w:rsidRDefault="00697601" w:rsidP="00697601"/>
    <w:p w:rsidR="00697601" w:rsidRDefault="00697601" w:rsidP="00697601">
      <w:pPr>
        <w:tabs>
          <w:tab w:val="left" w:pos="-1440"/>
          <w:tab w:val="left" w:pos="-720"/>
        </w:tabs>
        <w:suppressAutoHyphens/>
      </w:pPr>
      <w:r>
        <w:rPr>
          <w:b/>
        </w:rPr>
        <w:t>Are there requirements for legibility of prescriptions?</w:t>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pPr>
      <w:r>
        <w:tab/>
        <w:t xml:space="preserve">Yes. </w:t>
      </w:r>
      <w:r w:rsidR="00F26E25">
        <w:t>P</w:t>
      </w:r>
      <w:r>
        <w:t>rescriptions must be hand</w:t>
      </w:r>
      <w:r w:rsidR="00FA5B8A">
        <w:t>-</w:t>
      </w:r>
      <w:r>
        <w:t>printed, typewritten, or electronically generated.</w:t>
      </w:r>
      <w:r w:rsidR="005C2D1F">
        <w:rPr>
          <w:rStyle w:val="FootnoteReference"/>
        </w:rPr>
        <w:footnoteReference w:id="24"/>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pPr>
      <w:r>
        <w:rPr>
          <w:b/>
        </w:rPr>
        <w:t>What are the rules governing electronic communication of prescriptions?</w:t>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pPr>
      <w:r>
        <w:tab/>
      </w:r>
      <w:r w:rsidR="00D7176C">
        <w:t>Electronic transmission of prescription information means the communication from an authorized prescriber to a pharmacy (or between pharmacies) by computer, facsimile, or other electronic means (but not voice communication) of original prescription or prescription refill information for a legend drug or controlled substance.</w:t>
      </w:r>
      <w:r w:rsidR="00D7176C">
        <w:rPr>
          <w:rStyle w:val="FootnoteReference"/>
        </w:rPr>
        <w:footnoteReference w:id="25"/>
      </w:r>
      <w:r w:rsidR="00D7176C">
        <w:t xml:space="preserve">  </w:t>
      </w:r>
      <w:r>
        <w:rPr>
          <w:szCs w:val="24"/>
        </w:rPr>
        <w:t>Over-the-counter, legend drug</w:t>
      </w:r>
      <w:r w:rsidR="00A44E48">
        <w:rPr>
          <w:szCs w:val="24"/>
        </w:rPr>
        <w:t>,</w:t>
      </w:r>
      <w:r>
        <w:rPr>
          <w:szCs w:val="24"/>
        </w:rPr>
        <w:t xml:space="preserve"> and controlled substance prescriptions may be transmitted electronically</w:t>
      </w:r>
      <w:r w:rsidR="00150B0F">
        <w:rPr>
          <w:szCs w:val="24"/>
        </w:rPr>
        <w:t>, consistent with federal</w:t>
      </w:r>
      <w:r w:rsidR="00150B0F">
        <w:rPr>
          <w:rStyle w:val="FootnoteReference"/>
          <w:szCs w:val="24"/>
        </w:rPr>
        <w:footnoteReference w:id="26"/>
      </w:r>
      <w:r w:rsidR="00150B0F">
        <w:rPr>
          <w:szCs w:val="24"/>
        </w:rPr>
        <w:t xml:space="preserve"> and state</w:t>
      </w:r>
      <w:r w:rsidR="00C41521">
        <w:rPr>
          <w:szCs w:val="24"/>
        </w:rPr>
        <w:t xml:space="preserve"> laws</w:t>
      </w:r>
      <w:r>
        <w:t>.</w:t>
      </w:r>
      <w:r w:rsidR="00D16207">
        <w:rPr>
          <w:rStyle w:val="FootnoteReference"/>
        </w:rPr>
        <w:footnoteReference w:id="27"/>
      </w:r>
      <w:r>
        <w:t xml:space="preserve">  </w:t>
      </w:r>
      <w:r w:rsidR="00CA7B89">
        <w:t>Only exact visual images of Schedule II prescriptions, however, may be transferred electronically.</w:t>
      </w:r>
      <w:r w:rsidR="0021709F">
        <w:rPr>
          <w:rStyle w:val="FootnoteReference"/>
        </w:rPr>
        <w:footnoteReference w:id="28"/>
      </w:r>
      <w:r w:rsidR="00964FB8">
        <w:t xml:space="preserve"> </w:t>
      </w:r>
      <w:r w:rsidR="00BA523F">
        <w:t xml:space="preserve"> </w:t>
      </w:r>
      <w:r>
        <w:t xml:space="preserve">Both the system used for transmitting and the system used for receiving electronically communicated prescription information must be approved by the </w:t>
      </w:r>
      <w:r w:rsidR="008E02EB">
        <w:t xml:space="preserve">Washington State </w:t>
      </w:r>
      <w:r>
        <w:t>Board of Pharmacy.</w:t>
      </w:r>
      <w:r w:rsidR="00057B1E">
        <w:rPr>
          <w:rStyle w:val="FootnoteReference"/>
        </w:rPr>
        <w:footnoteReference w:id="29"/>
      </w:r>
      <w:r>
        <w:t xml:space="preserve">  The system must have adequate security and system safeguards designed to prevent and detect unauthorized access, modification, or manipulation of </w:t>
      </w:r>
      <w:r w:rsidR="006A2FCD">
        <w:t>prescription information</w:t>
      </w:r>
      <w:r>
        <w:t>.</w:t>
      </w:r>
      <w:r w:rsidR="0037323F">
        <w:rPr>
          <w:rStyle w:val="FootnoteReference"/>
        </w:rPr>
        <w:footnoteReference w:id="30"/>
      </w:r>
      <w:r>
        <w:t xml:space="preserve">  Policies and procedures t</w:t>
      </w:r>
      <w:r w:rsidR="00F03D9A">
        <w:t>hat</w:t>
      </w:r>
      <w:r>
        <w:t xml:space="preserve"> ensure the integrity</w:t>
      </w:r>
      <w:r w:rsidR="0000126B">
        <w:rPr>
          <w:rStyle w:val="FootnoteReference"/>
        </w:rPr>
        <w:footnoteReference w:id="31"/>
      </w:r>
      <w:r>
        <w:t xml:space="preserve"> and confidentiality</w:t>
      </w:r>
      <w:r w:rsidR="00C45F8B">
        <w:rPr>
          <w:rStyle w:val="FootnoteReference"/>
        </w:rPr>
        <w:footnoteReference w:id="32"/>
      </w:r>
      <w:r>
        <w:t xml:space="preserve"> of the electronically transmitted information and that do not restrict patients’ access to the pharmacy of their choice</w:t>
      </w:r>
      <w:r w:rsidR="008C3EE0">
        <w:rPr>
          <w:rStyle w:val="FootnoteReference"/>
        </w:rPr>
        <w:footnoteReference w:id="33"/>
      </w:r>
      <w:r>
        <w:t xml:space="preserve"> must also be in place.  These rules do not apply, however, to facsimile transmission of an exact visual image of the prescription.</w:t>
      </w:r>
      <w:r w:rsidR="007529D2">
        <w:rPr>
          <w:rStyle w:val="FootnoteReference"/>
        </w:rPr>
        <w:footnoteReference w:id="34"/>
      </w:r>
      <w:r>
        <w:t xml:space="preserve">  Transmission of original prescriptions must include all of the following:</w:t>
      </w:r>
      <w:r w:rsidR="00C80A0C">
        <w:rPr>
          <w:rStyle w:val="FootnoteReference"/>
        </w:rPr>
        <w:footnoteReference w:id="35"/>
      </w:r>
    </w:p>
    <w:p w:rsidR="00F53149" w:rsidRDefault="00F53149"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Prescriber’s name and address.</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 xml:space="preserve">Prescriber’s DEA </w:t>
      </w:r>
      <w:r w:rsidR="00ED6EE0">
        <w:t xml:space="preserve">registration </w:t>
      </w:r>
      <w:r>
        <w:t>number whe</w:t>
      </w:r>
      <w:r w:rsidR="00B56D72">
        <w:t>re</w:t>
      </w:r>
      <w:r>
        <w:t xml:space="preserve"> required for controlled substance</w:t>
      </w:r>
      <w:r w:rsidR="00B56D72">
        <w:t xml:space="preserve"> prescriptions</w:t>
      </w:r>
      <w:r>
        <w:t>.</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Date the prescription</w:t>
      </w:r>
      <w:r w:rsidR="00E30170">
        <w:t xml:space="preserve"> was issued</w:t>
      </w:r>
      <w:r>
        <w:t>.</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lastRenderedPageBreak/>
        <w:t>Patient’s name and address.</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Drug name, dose, route, form, directions for use, and quantity.</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Electronic, digital, or manual signature of the prescriber.</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Refills or renewals authorized, if any.</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A place to note allergies and a notation for the purpose of the drug.</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Indication of preference for a generic equivalent drug substitution.</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Any other requirements consistent with state and federal laws related to prescription form and content.</w:t>
      </w:r>
    </w:p>
    <w:p w:rsidR="00697601" w:rsidRDefault="00697601" w:rsidP="00697601">
      <w:pPr>
        <w:tabs>
          <w:tab w:val="left" w:pos="-1440"/>
          <w:tab w:val="left" w:pos="-720"/>
        </w:tabs>
        <w:suppressAutoHyphens/>
      </w:pPr>
    </w:p>
    <w:p w:rsidR="00697601" w:rsidRDefault="00697601" w:rsidP="00697601">
      <w:pPr>
        <w:numPr>
          <w:ilvl w:val="0"/>
          <w:numId w:val="1"/>
        </w:numPr>
        <w:tabs>
          <w:tab w:val="left" w:pos="-1440"/>
          <w:tab w:val="left" w:pos="-720"/>
        </w:tabs>
        <w:suppressAutoHyphens/>
      </w:pPr>
      <w:r>
        <w:t xml:space="preserve">Identification of the electronic system </w:t>
      </w:r>
      <w:r w:rsidR="0094366F">
        <w:t>r</w:t>
      </w:r>
      <w:r>
        <w:t>ea</w:t>
      </w:r>
      <w:r w:rsidR="0094366F">
        <w:t>d</w:t>
      </w:r>
      <w:r>
        <w:t xml:space="preserve">ily retrievable </w:t>
      </w:r>
      <w:r w:rsidR="00110B5D">
        <w:t>for</w:t>
      </w:r>
      <w:r>
        <w:t xml:space="preserve"> Board of Pharmacy inspection.</w:t>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pPr>
      <w:r>
        <w:tab/>
        <w:t xml:space="preserve">Information concerning electronic systems approved by the Board of Pharmacy may be found at: </w:t>
      </w:r>
      <w:hyperlink r:id="rId8" w:history="1">
        <w:r w:rsidR="00C51BEB" w:rsidRPr="003F28C2">
          <w:rPr>
            <w:rStyle w:val="Hyperlink"/>
          </w:rPr>
          <w:t>http://www.doh.wa.gov/Portals/1/Documents/2300/ElectronicPresc.pdf</w:t>
        </w:r>
      </w:hyperlink>
      <w:r>
        <w:t>.</w:t>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pPr>
      <w:r>
        <w:tab/>
        <w:t>Email may be used to transmit prescription information if the system meets requirements for security and confidentiality.</w:t>
      </w:r>
      <w:r w:rsidR="00FA2DAD">
        <w:rPr>
          <w:rStyle w:val="FootnoteReference"/>
        </w:rPr>
        <w:footnoteReference w:id="36"/>
      </w:r>
    </w:p>
    <w:p w:rsidR="00697601" w:rsidRDefault="00697601" w:rsidP="00697601">
      <w:pPr>
        <w:tabs>
          <w:tab w:val="left" w:pos="-1440"/>
          <w:tab w:val="left" w:pos="-720"/>
        </w:tabs>
        <w:suppressAutoHyphens/>
      </w:pPr>
    </w:p>
    <w:p w:rsidR="00697601" w:rsidRDefault="00697601" w:rsidP="00697601">
      <w:pPr>
        <w:tabs>
          <w:tab w:val="left" w:pos="-1440"/>
          <w:tab w:val="left" w:pos="-720"/>
        </w:tabs>
        <w:suppressAutoHyphens/>
        <w:rPr>
          <w:b/>
        </w:rPr>
      </w:pPr>
      <w:r>
        <w:rPr>
          <w:b/>
        </w:rPr>
        <w:t>Are there special rules related to use of facsimile machines to transmit prescription information?</w:t>
      </w:r>
    </w:p>
    <w:p w:rsidR="00697601" w:rsidRDefault="00697601" w:rsidP="00697601">
      <w:pPr>
        <w:tabs>
          <w:tab w:val="left" w:pos="-1440"/>
          <w:tab w:val="left" w:pos="-720"/>
        </w:tabs>
        <w:suppressAutoHyphens/>
        <w:rPr>
          <w:b/>
        </w:rPr>
      </w:pPr>
    </w:p>
    <w:p w:rsidR="00697601" w:rsidRDefault="00697601" w:rsidP="00697601">
      <w:pPr>
        <w:tabs>
          <w:tab w:val="left" w:pos="-1440"/>
          <w:tab w:val="left" w:pos="-720"/>
        </w:tabs>
        <w:suppressAutoHyphens/>
      </w:pPr>
      <w:r>
        <w:tab/>
        <w:t>Yes.  Prescription orders transmitted</w:t>
      </w:r>
      <w:r w:rsidR="003C649E">
        <w:t xml:space="preserve"> via fax</w:t>
      </w:r>
      <w:r>
        <w:t xml:space="preserve"> from a prescriber to a pharmacist must meet the following requirements:</w:t>
      </w:r>
      <w:r w:rsidR="00315AE2">
        <w:rPr>
          <w:rStyle w:val="FootnoteReference"/>
        </w:rPr>
        <w:footnoteReference w:id="37"/>
      </w:r>
    </w:p>
    <w:p w:rsidR="00697601" w:rsidRDefault="00697601" w:rsidP="00697601">
      <w:pPr>
        <w:tabs>
          <w:tab w:val="left" w:pos="-1440"/>
          <w:tab w:val="left" w:pos="-720"/>
        </w:tabs>
        <w:suppressAutoHyphens/>
      </w:pPr>
    </w:p>
    <w:p w:rsidR="00697601" w:rsidRDefault="00697601" w:rsidP="00697601">
      <w:pPr>
        <w:numPr>
          <w:ilvl w:val="0"/>
          <w:numId w:val="2"/>
        </w:numPr>
        <w:tabs>
          <w:tab w:val="left" w:pos="-1440"/>
          <w:tab w:val="left" w:pos="-720"/>
        </w:tabs>
        <w:suppressAutoHyphens/>
        <w:rPr>
          <w:szCs w:val="24"/>
        </w:rPr>
      </w:pPr>
      <w:r>
        <w:rPr>
          <w:szCs w:val="24"/>
        </w:rPr>
        <w:t>The order contain</w:t>
      </w:r>
      <w:r w:rsidR="00706224">
        <w:rPr>
          <w:szCs w:val="24"/>
        </w:rPr>
        <w:t>s</w:t>
      </w:r>
      <w:r>
        <w:rPr>
          <w:szCs w:val="24"/>
        </w:rPr>
        <w:t xml:space="preserve"> the date, time, and telephone number and location of the transmitting device.</w:t>
      </w:r>
    </w:p>
    <w:p w:rsidR="00697601" w:rsidRDefault="00697601" w:rsidP="00697601">
      <w:pPr>
        <w:tabs>
          <w:tab w:val="left" w:pos="-1440"/>
          <w:tab w:val="left" w:pos="-720"/>
        </w:tabs>
        <w:suppressAutoHyphens/>
        <w:rPr>
          <w:szCs w:val="24"/>
        </w:rPr>
      </w:pPr>
    </w:p>
    <w:p w:rsidR="00697601" w:rsidRDefault="00697601" w:rsidP="00697601">
      <w:pPr>
        <w:numPr>
          <w:ilvl w:val="0"/>
          <w:numId w:val="2"/>
        </w:numPr>
        <w:tabs>
          <w:tab w:val="left" w:pos="-1440"/>
          <w:tab w:val="left" w:pos="-720"/>
        </w:tabs>
        <w:suppressAutoHyphens/>
        <w:rPr>
          <w:szCs w:val="24"/>
        </w:rPr>
      </w:pPr>
      <w:r>
        <w:rPr>
          <w:szCs w:val="24"/>
        </w:rPr>
        <w:t>Prescriptions for Schedule III, IV, and V drugs may be transmitted at any time.</w:t>
      </w:r>
    </w:p>
    <w:p w:rsidR="00697601" w:rsidRDefault="00697601" w:rsidP="00697601">
      <w:pPr>
        <w:tabs>
          <w:tab w:val="left" w:pos="-1440"/>
          <w:tab w:val="left" w:pos="-720"/>
        </w:tabs>
        <w:suppressAutoHyphens/>
        <w:rPr>
          <w:szCs w:val="24"/>
        </w:rPr>
      </w:pPr>
    </w:p>
    <w:p w:rsidR="00697601" w:rsidRDefault="00697601" w:rsidP="00697601">
      <w:pPr>
        <w:numPr>
          <w:ilvl w:val="0"/>
          <w:numId w:val="2"/>
        </w:numPr>
        <w:tabs>
          <w:tab w:val="left" w:pos="-1440"/>
          <w:tab w:val="left" w:pos="-720"/>
        </w:tabs>
        <w:suppressAutoHyphens/>
        <w:rPr>
          <w:szCs w:val="24"/>
        </w:rPr>
      </w:pPr>
      <w:r>
        <w:rPr>
          <w:szCs w:val="24"/>
        </w:rPr>
        <w:t>Prescriptions for Schedule II drugs may be transmitted only under the following conditions:</w:t>
      </w:r>
    </w:p>
    <w:p w:rsidR="00697601" w:rsidRDefault="00697601" w:rsidP="00697601">
      <w:pPr>
        <w:tabs>
          <w:tab w:val="left" w:pos="-1440"/>
          <w:tab w:val="left" w:pos="-720"/>
        </w:tabs>
        <w:suppressAutoHyphens/>
        <w:rPr>
          <w:szCs w:val="24"/>
        </w:rPr>
      </w:pPr>
    </w:p>
    <w:p w:rsidR="00697601" w:rsidRDefault="00697601" w:rsidP="00697601">
      <w:pPr>
        <w:numPr>
          <w:ilvl w:val="1"/>
          <w:numId w:val="3"/>
        </w:numPr>
        <w:tabs>
          <w:tab w:val="left" w:pos="-1440"/>
          <w:tab w:val="left" w:pos="-720"/>
        </w:tabs>
        <w:suppressAutoHyphens/>
        <w:rPr>
          <w:szCs w:val="24"/>
        </w:rPr>
      </w:pPr>
      <w:r>
        <w:rPr>
          <w:szCs w:val="24"/>
        </w:rPr>
        <w:t>The order is for an injectable Schedule II narcotic substance that is to be compounded by the pharmacist for patient use, or the prescription is written for patients in a long-term care facility or a hospice program.</w:t>
      </w:r>
    </w:p>
    <w:p w:rsidR="00697601" w:rsidRDefault="00697601" w:rsidP="00697601">
      <w:pPr>
        <w:tabs>
          <w:tab w:val="left" w:pos="-1440"/>
          <w:tab w:val="left" w:pos="-720"/>
        </w:tabs>
        <w:suppressAutoHyphens/>
        <w:rPr>
          <w:szCs w:val="24"/>
        </w:rPr>
      </w:pPr>
    </w:p>
    <w:p w:rsidR="00697601" w:rsidRDefault="00697601" w:rsidP="00697601">
      <w:pPr>
        <w:numPr>
          <w:ilvl w:val="1"/>
          <w:numId w:val="4"/>
        </w:numPr>
        <w:tabs>
          <w:tab w:val="left" w:pos="-1440"/>
          <w:tab w:val="left" w:pos="-720"/>
        </w:tabs>
        <w:suppressAutoHyphens/>
        <w:rPr>
          <w:szCs w:val="24"/>
        </w:rPr>
      </w:pPr>
      <w:r>
        <w:rPr>
          <w:szCs w:val="24"/>
        </w:rPr>
        <w:t>The prescription must be signed by the prescriber.</w:t>
      </w:r>
    </w:p>
    <w:p w:rsidR="00697601" w:rsidRDefault="00697601" w:rsidP="00697601">
      <w:pPr>
        <w:tabs>
          <w:tab w:val="left" w:pos="-1440"/>
          <w:tab w:val="left" w:pos="-720"/>
        </w:tabs>
        <w:suppressAutoHyphens/>
        <w:rPr>
          <w:szCs w:val="24"/>
        </w:rPr>
      </w:pPr>
    </w:p>
    <w:p w:rsidR="00697601" w:rsidRDefault="00697601" w:rsidP="00697601">
      <w:pPr>
        <w:numPr>
          <w:ilvl w:val="1"/>
          <w:numId w:val="5"/>
        </w:numPr>
        <w:tabs>
          <w:tab w:val="left" w:pos="-1440"/>
          <w:tab w:val="left" w:pos="-720"/>
        </w:tabs>
        <w:suppressAutoHyphens/>
        <w:rPr>
          <w:szCs w:val="24"/>
        </w:rPr>
      </w:pPr>
      <w:r>
        <w:rPr>
          <w:szCs w:val="24"/>
        </w:rPr>
        <w:t>In a non</w:t>
      </w:r>
      <w:r w:rsidR="00795742">
        <w:rPr>
          <w:szCs w:val="24"/>
        </w:rPr>
        <w:t>-</w:t>
      </w:r>
      <w:r>
        <w:rPr>
          <w:szCs w:val="24"/>
        </w:rPr>
        <w:t>emergent situation, an order for Schedule II controlled substances may be prepared for delivery to a patient pursuant to a facsimile transmission but may not be dispensed to the patient except upon presentation of a written order.</w:t>
      </w:r>
    </w:p>
    <w:p w:rsidR="00697601" w:rsidRDefault="00697601" w:rsidP="00697601">
      <w:pPr>
        <w:tabs>
          <w:tab w:val="left" w:pos="-1440"/>
          <w:tab w:val="left" w:pos="-720"/>
        </w:tabs>
        <w:suppressAutoHyphens/>
        <w:rPr>
          <w:szCs w:val="24"/>
        </w:rPr>
      </w:pPr>
    </w:p>
    <w:p w:rsidR="00697601" w:rsidRDefault="00697601" w:rsidP="00697601">
      <w:pPr>
        <w:numPr>
          <w:ilvl w:val="1"/>
          <w:numId w:val="6"/>
        </w:numPr>
        <w:tabs>
          <w:tab w:val="left" w:pos="-1440"/>
          <w:tab w:val="left" w:pos="-720"/>
        </w:tabs>
        <w:suppressAutoHyphens/>
        <w:rPr>
          <w:szCs w:val="24"/>
        </w:rPr>
      </w:pPr>
      <w:r>
        <w:rPr>
          <w:szCs w:val="24"/>
        </w:rPr>
        <w:t>In an emergent situation, an order for Schedule II controlled substances may be dispensed to the patient upon the verbal orders of a prescriber, provided that the prescription is promptly transmitted in written form.  The pharmacy has seven days to obtain a written prescription that covers an emergency prescription</w:t>
      </w:r>
      <w:r w:rsidR="00433E15">
        <w:rPr>
          <w:szCs w:val="24"/>
        </w:rPr>
        <w:t xml:space="preserve"> of this kind</w:t>
      </w:r>
      <w:r>
        <w:rPr>
          <w:szCs w:val="24"/>
        </w:rPr>
        <w:t>.</w:t>
      </w:r>
    </w:p>
    <w:p w:rsidR="00697601" w:rsidRDefault="00697601" w:rsidP="00697601">
      <w:pPr>
        <w:tabs>
          <w:tab w:val="left" w:pos="-1440"/>
          <w:tab w:val="left" w:pos="-720"/>
        </w:tabs>
        <w:suppressAutoHyphens/>
        <w:rPr>
          <w:szCs w:val="24"/>
        </w:rPr>
      </w:pPr>
    </w:p>
    <w:p w:rsidR="00697601" w:rsidRDefault="00697601" w:rsidP="00697601">
      <w:pPr>
        <w:numPr>
          <w:ilvl w:val="1"/>
          <w:numId w:val="7"/>
        </w:numPr>
        <w:tabs>
          <w:tab w:val="left" w:pos="-1440"/>
          <w:tab w:val="left" w:pos="-720"/>
        </w:tabs>
        <w:suppressAutoHyphens/>
        <w:rPr>
          <w:szCs w:val="24"/>
        </w:rPr>
      </w:pPr>
      <w:r>
        <w:rPr>
          <w:szCs w:val="24"/>
        </w:rPr>
        <w:t>The prescription is to a hospital for a patient admitted to or being discharged from the hospital.</w:t>
      </w:r>
    </w:p>
    <w:p w:rsidR="00697601" w:rsidRDefault="00697601" w:rsidP="00697601">
      <w:pPr>
        <w:tabs>
          <w:tab w:val="left" w:pos="-1440"/>
          <w:tab w:val="left" w:pos="-720"/>
        </w:tabs>
        <w:suppressAutoHyphens/>
        <w:rPr>
          <w:szCs w:val="24"/>
        </w:rPr>
      </w:pPr>
    </w:p>
    <w:p w:rsidR="00697601" w:rsidRDefault="00697601" w:rsidP="00697601">
      <w:pPr>
        <w:tabs>
          <w:tab w:val="left" w:pos="-1440"/>
          <w:tab w:val="left" w:pos="-720"/>
        </w:tabs>
        <w:suppressAutoHyphens/>
        <w:rPr>
          <w:szCs w:val="24"/>
        </w:rPr>
      </w:pPr>
      <w:r>
        <w:rPr>
          <w:szCs w:val="24"/>
        </w:rPr>
        <w:tab/>
        <w:t>Refill authorizations for prescriptions may be electronically transmitted.</w:t>
      </w:r>
      <w:r w:rsidR="00AC3D4B">
        <w:rPr>
          <w:rStyle w:val="FootnoteReference"/>
          <w:szCs w:val="24"/>
        </w:rPr>
        <w:footnoteReference w:id="38"/>
      </w:r>
    </w:p>
    <w:p w:rsidR="00697601" w:rsidRDefault="00697601" w:rsidP="00697601">
      <w:pPr>
        <w:tabs>
          <w:tab w:val="left" w:pos="-720"/>
        </w:tabs>
        <w:suppressAutoHyphens/>
      </w:pPr>
    </w:p>
    <w:p w:rsidR="00697601" w:rsidRDefault="00697601" w:rsidP="00697601">
      <w:pPr>
        <w:pStyle w:val="Heading2"/>
      </w:pPr>
      <w:r>
        <w:t>Is there a limitation on the quantity of controlled substances that may be prescribed to a patient?</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There is no statutory limitation.  A physician is limited, however, by the exercise of sound medical judgment required by the applicable standard of care.</w:t>
      </w:r>
    </w:p>
    <w:p w:rsidR="00697601" w:rsidRDefault="00697601" w:rsidP="00697601">
      <w:pPr>
        <w:tabs>
          <w:tab w:val="left" w:pos="-720"/>
        </w:tabs>
        <w:suppressAutoHyphens/>
      </w:pPr>
    </w:p>
    <w:p w:rsidR="00697601" w:rsidRDefault="00697601" w:rsidP="00697601">
      <w:pPr>
        <w:pStyle w:val="Heading2"/>
      </w:pPr>
      <w:r>
        <w:t>Is there a limitation on refills of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Yes.  A prescription for a Schedule II substance may not be refilled.</w:t>
      </w:r>
      <w:r w:rsidR="0058637E">
        <w:rPr>
          <w:rStyle w:val="FootnoteReference"/>
        </w:rPr>
        <w:footnoteReference w:id="39"/>
      </w:r>
      <w:r>
        <w:t xml:space="preserve">  A prescription for a Schedule III or IV substance may not be refilled</w:t>
      </w:r>
      <w:r w:rsidR="00965515">
        <w:t xml:space="preserve"> more than six months after the prescription’s date and may not be refilled</w:t>
      </w:r>
      <w:r>
        <w:t xml:space="preserve"> more than five times, unless </w:t>
      </w:r>
      <w:r w:rsidR="00C44E9D">
        <w:t xml:space="preserve">the physician </w:t>
      </w:r>
      <w:r>
        <w:t>renew</w:t>
      </w:r>
      <w:r w:rsidR="00C44E9D">
        <w:t>s</w:t>
      </w:r>
      <w:r>
        <w:t xml:space="preserve"> the </w:t>
      </w:r>
      <w:r w:rsidR="00C44E9D">
        <w:t>prescription</w:t>
      </w:r>
      <w:r>
        <w:t>.</w:t>
      </w:r>
      <w:r w:rsidR="00FD2439">
        <w:rPr>
          <w:rStyle w:val="FootnoteReference"/>
        </w:rPr>
        <w:footnoteReference w:id="40"/>
      </w:r>
    </w:p>
    <w:p w:rsidR="00697601" w:rsidRDefault="00697601" w:rsidP="00697601">
      <w:pPr>
        <w:tabs>
          <w:tab w:val="left" w:pos="-720"/>
        </w:tabs>
        <w:suppressAutoHyphens/>
      </w:pPr>
    </w:p>
    <w:p w:rsidR="00697601" w:rsidRDefault="00697601" w:rsidP="00697601">
      <w:pPr>
        <w:pStyle w:val="Heading2"/>
      </w:pPr>
      <w:r>
        <w:t>May a physician prescribe controlled substances for himself or herself?</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No.  It is unprofessional conduct to self-prescribe controlled substances.</w:t>
      </w:r>
      <w:r w:rsidR="00987991">
        <w:rPr>
          <w:rStyle w:val="FootnoteReference"/>
        </w:rPr>
        <w:footnoteReference w:id="41"/>
      </w:r>
      <w:r>
        <w:t xml:space="preserve">  </w:t>
      </w:r>
      <w:r>
        <w:rPr>
          <w:u w:val="single"/>
        </w:rPr>
        <w:t>See</w:t>
      </w:r>
      <w:r>
        <w:t xml:space="preserve"> </w:t>
      </w:r>
      <w:r>
        <w:rPr>
          <w:b/>
        </w:rPr>
        <w:t>UNPROFESSIONAL CONDUCT</w:t>
      </w:r>
      <w:r>
        <w:t>.</w:t>
      </w:r>
    </w:p>
    <w:p w:rsidR="00697601" w:rsidRDefault="00697601" w:rsidP="00697601">
      <w:pPr>
        <w:tabs>
          <w:tab w:val="left" w:pos="-720"/>
        </w:tabs>
        <w:suppressAutoHyphens/>
      </w:pPr>
    </w:p>
    <w:p w:rsidR="00697601" w:rsidRDefault="00697601" w:rsidP="00697601">
      <w:pPr>
        <w:pStyle w:val="Heading2"/>
      </w:pPr>
      <w:r>
        <w:t>May a physician prescribe controlled substances for family members?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Washington law does not specifically prohibit it.  However, a physician may prescribe a controlled substance only for a legitimate medical purpose while acting in the usual course of his or her professional practice.</w:t>
      </w:r>
      <w:r w:rsidR="00D139C2">
        <w:rPr>
          <w:rStyle w:val="FootnoteReference"/>
        </w:rPr>
        <w:footnoteReference w:id="42"/>
      </w:r>
      <w:r>
        <w:t xml:space="preserve">  Furthermore, a physician may not issue a prescription to dispense narcotic drugs for detoxification or maintenance treatment of a person who is dependent on narcotic drugs unless </w:t>
      </w:r>
      <w:r w:rsidR="00F86E9E">
        <w:t>the FDA has approved those</w:t>
      </w:r>
      <w:r w:rsidR="00224B34">
        <w:t xml:space="preserve"> drugs for such a purpose</w:t>
      </w:r>
      <w:r w:rsidR="00F86E9E">
        <w:t xml:space="preserve"> and the physician </w:t>
      </w:r>
      <w:r w:rsidR="00F86E9E">
        <w:lastRenderedPageBreak/>
        <w:t>complies with certain federal regulations</w:t>
      </w:r>
      <w:r>
        <w:t>.</w:t>
      </w:r>
      <w:r w:rsidR="004818DA">
        <w:rPr>
          <w:rStyle w:val="FootnoteReference"/>
        </w:rPr>
        <w:footnoteReference w:id="43"/>
      </w:r>
      <w:r>
        <w:t xml:space="preserve">  Thus, </w:t>
      </w:r>
      <w:r w:rsidR="00E2575B">
        <w:t xml:space="preserve">a physician should exercise </w:t>
      </w:r>
      <w:r>
        <w:t>great caution before prescribing controlled substances for family members</w:t>
      </w:r>
      <w:r w:rsidR="00673A0C">
        <w:t>,</w:t>
      </w:r>
      <w:r>
        <w:t xml:space="preserve"> </w:t>
      </w:r>
      <w:r w:rsidR="00805381">
        <w:t>should</w:t>
      </w:r>
      <w:r>
        <w:t xml:space="preserve"> keep thorough medical records</w:t>
      </w:r>
      <w:r w:rsidR="00673A0C">
        <w:t>,</w:t>
      </w:r>
      <w:r>
        <w:t xml:space="preserve"> and </w:t>
      </w:r>
      <w:r w:rsidR="00673A0C">
        <w:t>should</w:t>
      </w:r>
      <w:r>
        <w:t xml:space="preserve"> avoid manipulation by family members.</w:t>
      </w:r>
    </w:p>
    <w:p w:rsidR="00697601" w:rsidRDefault="00697601" w:rsidP="00697601">
      <w:pPr>
        <w:tabs>
          <w:tab w:val="left" w:pos="-720"/>
        </w:tabs>
        <w:suppressAutoHyphens/>
      </w:pPr>
    </w:p>
    <w:p w:rsidR="00697601" w:rsidRDefault="00697601" w:rsidP="00697601">
      <w:pPr>
        <w:pStyle w:val="Heading2"/>
      </w:pPr>
      <w:r>
        <w:t>May a physician be subject to criminal prosecution for violating the controlled substances laws?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Yes.  A physician’s violation of the laws governing controlled substances may result in criminal prosecution.</w:t>
      </w:r>
      <w:r w:rsidR="001249FE">
        <w:rPr>
          <w:rStyle w:val="FootnoteReference"/>
        </w:rPr>
        <w:footnoteReference w:id="44"/>
      </w:r>
      <w:r>
        <w:t xml:space="preserve">  </w:t>
      </w:r>
      <w:r w:rsidR="0030674A">
        <w:t>Furthermore, t</w:t>
      </w:r>
      <w:r>
        <w:t>he physician’s medical license will be suspended for the term of a sentence resulting from violation of the laws related to controlled substances.</w:t>
      </w:r>
      <w:r w:rsidR="00035B5C">
        <w:rPr>
          <w:rStyle w:val="FootnoteReference"/>
        </w:rPr>
        <w:footnoteReference w:id="45"/>
      </w:r>
    </w:p>
    <w:p w:rsidR="00697601" w:rsidRDefault="00697601" w:rsidP="00697601">
      <w:pPr>
        <w:tabs>
          <w:tab w:val="left" w:pos="-720"/>
        </w:tabs>
        <w:suppressAutoHyphens/>
      </w:pPr>
    </w:p>
    <w:p w:rsidR="00697601" w:rsidRDefault="00697601" w:rsidP="00697601">
      <w:pPr>
        <w:pStyle w:val="Heading2"/>
      </w:pPr>
      <w:r>
        <w:t>May a physician be disciplined for conduct related to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Yes.  A physician’s violation of the laws governing controlled substances may result in disciplinary action.  In particular, a physician may be disciplined for:</w:t>
      </w:r>
      <w:r w:rsidR="00FD1C9C">
        <w:rPr>
          <w:rStyle w:val="FootnoteReference"/>
        </w:rPr>
        <w:footnoteReference w:id="46"/>
      </w:r>
    </w:p>
    <w:p w:rsidR="00697601" w:rsidRDefault="00697601" w:rsidP="00697601">
      <w:pPr>
        <w:tabs>
          <w:tab w:val="left" w:pos="-720"/>
        </w:tabs>
        <w:suppressAutoHyphens/>
      </w:pPr>
    </w:p>
    <w:p w:rsidR="00697601" w:rsidRDefault="00697601" w:rsidP="00697601">
      <w:pPr>
        <w:pStyle w:val="ListBullet"/>
      </w:pPr>
      <w:r>
        <w:t>The possession, use, prescription for use, or distribution of controlled substances in any way other than for legitimate or therapeutic purposes.</w:t>
      </w:r>
    </w:p>
    <w:p w:rsidR="00697601" w:rsidRDefault="00697601" w:rsidP="00697601">
      <w:pPr>
        <w:tabs>
          <w:tab w:val="left" w:pos="-720"/>
        </w:tabs>
        <w:suppressAutoHyphens/>
      </w:pPr>
    </w:p>
    <w:p w:rsidR="00697601" w:rsidRDefault="00697601" w:rsidP="00697601">
      <w:pPr>
        <w:pStyle w:val="ListBullet"/>
      </w:pPr>
      <w:r>
        <w:t>Diversion of controlled substances.</w:t>
      </w:r>
    </w:p>
    <w:p w:rsidR="00697601" w:rsidRDefault="00697601" w:rsidP="00697601">
      <w:pPr>
        <w:tabs>
          <w:tab w:val="left" w:pos="-720"/>
        </w:tabs>
        <w:suppressAutoHyphens/>
      </w:pPr>
    </w:p>
    <w:p w:rsidR="00697601" w:rsidRDefault="00697601" w:rsidP="00697601">
      <w:pPr>
        <w:pStyle w:val="ListBullet"/>
      </w:pPr>
      <w:r>
        <w:t>Violation of any drug law.</w:t>
      </w:r>
    </w:p>
    <w:p w:rsidR="00697601" w:rsidRDefault="00697601" w:rsidP="00697601">
      <w:pPr>
        <w:tabs>
          <w:tab w:val="left" w:pos="-720"/>
        </w:tabs>
        <w:suppressAutoHyphens/>
      </w:pPr>
    </w:p>
    <w:p w:rsidR="00697601" w:rsidRDefault="00697601" w:rsidP="00697601">
      <w:pPr>
        <w:pStyle w:val="ListBullet"/>
      </w:pPr>
      <w:r>
        <w:t xml:space="preserve">Prescribing controlled substances for </w:t>
      </w:r>
      <w:proofErr w:type="gramStart"/>
      <w:r>
        <w:t>oneself</w:t>
      </w:r>
      <w:proofErr w:type="gramEnd"/>
      <w:r>
        <w:t>.</w:t>
      </w:r>
    </w:p>
    <w:p w:rsidR="00697601" w:rsidRDefault="00697601" w:rsidP="00697601">
      <w:pPr>
        <w:tabs>
          <w:tab w:val="left" w:pos="-720"/>
        </w:tabs>
        <w:suppressAutoHyphens/>
      </w:pPr>
    </w:p>
    <w:p w:rsidR="00697601" w:rsidRDefault="00DD4DC0" w:rsidP="00697601">
      <w:pPr>
        <w:pStyle w:val="ListBullet"/>
      </w:pPr>
      <w:r>
        <w:t>Personal m</w:t>
      </w:r>
      <w:r w:rsidR="00697601">
        <w:t>isuse of controlled substances.</w:t>
      </w:r>
      <w:r w:rsidR="00D017C0">
        <w:rPr>
          <w:rStyle w:val="FootnoteReference"/>
        </w:rPr>
        <w:footnoteReference w:id="47"/>
      </w:r>
    </w:p>
    <w:p w:rsidR="00697601" w:rsidRDefault="00697601" w:rsidP="00697601">
      <w:pPr>
        <w:tabs>
          <w:tab w:val="left" w:pos="-720"/>
        </w:tabs>
        <w:suppressAutoHyphens/>
      </w:pPr>
    </w:p>
    <w:p w:rsidR="00697601" w:rsidRDefault="00697601" w:rsidP="00697601">
      <w:pPr>
        <w:pStyle w:val="Heading2"/>
      </w:pPr>
      <w:r>
        <w:t>How should controlled substances be stored?</w:t>
      </w:r>
    </w:p>
    <w:p w:rsidR="00697601" w:rsidRDefault="00697601" w:rsidP="00697601">
      <w:pPr>
        <w:keepNext/>
        <w:keepLines/>
        <w:widowControl w:val="0"/>
        <w:tabs>
          <w:tab w:val="left" w:pos="-720"/>
        </w:tabs>
        <w:suppressAutoHyphens/>
      </w:pPr>
    </w:p>
    <w:p w:rsidR="00C761E0" w:rsidRPr="00C761E0" w:rsidRDefault="00697601" w:rsidP="00697601">
      <w:pPr>
        <w:tabs>
          <w:tab w:val="left" w:pos="-720"/>
        </w:tabs>
        <w:suppressAutoHyphens/>
        <w:rPr>
          <w:b/>
        </w:rPr>
      </w:pPr>
      <w:r>
        <w:tab/>
        <w:t xml:space="preserve">Physicians must store controlled substances in their offices or clinics in a securely locked, substantially constructed cabinet or safe.  Access to the storage area should be kept to a minimum.  A </w:t>
      </w:r>
      <w:r w:rsidR="0010178B">
        <w:t xml:space="preserve">sufficiently detailed </w:t>
      </w:r>
      <w:r>
        <w:t>record of the r</w:t>
      </w:r>
      <w:r w:rsidR="00C432F6">
        <w:t>eceipt, use, and disposition of</w:t>
      </w:r>
      <w:r w:rsidR="00C761E0">
        <w:t xml:space="preserve"> </w:t>
      </w:r>
      <w:r w:rsidR="00C432F6">
        <w:t xml:space="preserve">all </w:t>
      </w:r>
      <w:r>
        <w:t xml:space="preserve">controlled substances must be maintained.  An inventory of </w:t>
      </w:r>
      <w:r w:rsidR="00C432F6">
        <w:t xml:space="preserve">all </w:t>
      </w:r>
      <w:r>
        <w:t>controlled substances</w:t>
      </w:r>
      <w:r w:rsidR="002F05CF">
        <w:t xml:space="preserve"> in the physician’s possession</w:t>
      </w:r>
      <w:r>
        <w:t xml:space="preserve"> must be completed every </w:t>
      </w:r>
      <w:r w:rsidR="005E6AB0">
        <w:t>two</w:t>
      </w:r>
      <w:r>
        <w:t xml:space="preserve"> years</w:t>
      </w:r>
      <w:r w:rsidR="004A5FA2">
        <w:t xml:space="preserve"> and the inventory records kept for two years</w:t>
      </w:r>
      <w:r>
        <w:t>.</w:t>
      </w:r>
      <w:r w:rsidR="004A5FA2">
        <w:rPr>
          <w:rStyle w:val="FootnoteReference"/>
        </w:rPr>
        <w:footnoteReference w:id="48"/>
      </w:r>
      <w:r>
        <w:t xml:space="preserve">  </w:t>
      </w:r>
      <w:r>
        <w:rPr>
          <w:u w:val="single"/>
        </w:rPr>
        <w:t>See</w:t>
      </w:r>
      <w:r>
        <w:t xml:space="preserve"> </w:t>
      </w:r>
      <w:r>
        <w:rPr>
          <w:u w:val="single"/>
        </w:rPr>
        <w:t>also</w:t>
      </w:r>
      <w:r>
        <w:t xml:space="preserve"> </w:t>
      </w:r>
      <w:r>
        <w:rPr>
          <w:b/>
        </w:rPr>
        <w:t>LEGEND DRUGS.</w:t>
      </w:r>
    </w:p>
    <w:p w:rsidR="00697601" w:rsidRDefault="00697601" w:rsidP="00697601">
      <w:pPr>
        <w:tabs>
          <w:tab w:val="left" w:pos="-720"/>
        </w:tabs>
        <w:suppressAutoHyphens/>
      </w:pPr>
    </w:p>
    <w:p w:rsidR="00697601" w:rsidRDefault="00697601" w:rsidP="00697601">
      <w:pPr>
        <w:pStyle w:val="Heading2"/>
      </w:pPr>
      <w:r>
        <w:lastRenderedPageBreak/>
        <w:t>How should</w:t>
      </w:r>
      <w:r w:rsidR="00C521B1">
        <w:t xml:space="preserve"> physicians dispose of</w:t>
      </w:r>
      <w:r>
        <w:t xml:space="preserve"> controlled substances?</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Physicians should contact the local DEA office for specific instructions on the disposal of controlled substances.  The local DEA office will instruct the physician to either transfer the controlled substances to the local DEA office (or such other person or entity as arranged by the DEA) or to destroy the substances in the presence of a DEA agent.</w:t>
      </w:r>
      <w:r w:rsidR="00350E62">
        <w:rPr>
          <w:rStyle w:val="FootnoteReference"/>
        </w:rPr>
        <w:footnoteReference w:id="49"/>
      </w:r>
    </w:p>
    <w:p w:rsidR="00697601" w:rsidRDefault="00697601" w:rsidP="00697601">
      <w:pPr>
        <w:tabs>
          <w:tab w:val="left" w:pos="-720"/>
        </w:tabs>
        <w:suppressAutoHyphens/>
      </w:pPr>
    </w:p>
    <w:p w:rsidR="00697601" w:rsidRDefault="00697601" w:rsidP="00697601">
      <w:pPr>
        <w:pStyle w:val="Heading2"/>
      </w:pPr>
      <w:r>
        <w:t>Must a physician report the theft or loss of a controlled substance?</w:t>
      </w:r>
    </w:p>
    <w:p w:rsidR="00697601" w:rsidRDefault="00697601" w:rsidP="00697601">
      <w:pPr>
        <w:keepNext/>
        <w:keepLines/>
        <w:widowControl w:val="0"/>
        <w:tabs>
          <w:tab w:val="left" w:pos="-720"/>
        </w:tabs>
        <w:suppressAutoHyphens/>
      </w:pPr>
    </w:p>
    <w:p w:rsidR="00697601" w:rsidRDefault="00697601" w:rsidP="00697601">
      <w:pPr>
        <w:tabs>
          <w:tab w:val="left" w:pos="-720"/>
        </w:tabs>
        <w:suppressAutoHyphens/>
      </w:pPr>
      <w:r>
        <w:tab/>
        <w:t xml:space="preserve">Yes.  Any loss or theft of controlled substances must be reported to a DEA field office using DEA Form 106, with a copy sent to the </w:t>
      </w:r>
      <w:r w:rsidR="00022BF8">
        <w:t xml:space="preserve">Washington State </w:t>
      </w:r>
      <w:r>
        <w:t>Board of Pharmacy.</w:t>
      </w:r>
      <w:r w:rsidR="00367479">
        <w:rPr>
          <w:rStyle w:val="FootnoteReference"/>
        </w:rPr>
        <w:footnoteReference w:id="50"/>
      </w:r>
      <w:r w:rsidR="00002C59" w:rsidRPr="00002C59">
        <w:t xml:space="preserve"> </w:t>
      </w:r>
      <w:r w:rsidR="00002C59">
        <w:t xml:space="preserve"> DEA Form 106 is available at: </w:t>
      </w:r>
      <w:hyperlink r:id="rId9" w:history="1">
        <w:r w:rsidR="00002C59" w:rsidRPr="003F28C2">
          <w:rPr>
            <w:rStyle w:val="Hyperlink"/>
          </w:rPr>
          <w:t>http://www.deadiversion.usdoj.gov/21cfr_reports/theft/index.html</w:t>
        </w:r>
      </w:hyperlink>
      <w:r w:rsidR="00002C59">
        <w:t>.</w:t>
      </w:r>
    </w:p>
    <w:p w:rsidR="00697601" w:rsidRDefault="00697601" w:rsidP="00697601">
      <w:pPr>
        <w:tabs>
          <w:tab w:val="left" w:pos="-720"/>
        </w:tabs>
        <w:suppressAutoHyphens/>
      </w:pPr>
    </w:p>
    <w:p w:rsidR="00697601" w:rsidRDefault="00697601" w:rsidP="00697601">
      <w:pPr>
        <w:tabs>
          <w:tab w:val="left" w:pos="-720"/>
        </w:tabs>
        <w:suppressAutoHyphens/>
      </w:pPr>
      <w:r>
        <w:tab/>
        <w:t xml:space="preserve">Washington law further requires that the theft or loss of a precursor drug be reported to the </w:t>
      </w:r>
      <w:r w:rsidR="00FA6E16">
        <w:t>s</w:t>
      </w:r>
      <w:r>
        <w:t>tate Board of Pharmacy within seven days of discovery.</w:t>
      </w:r>
      <w:r w:rsidR="00DC2A42">
        <w:rPr>
          <w:rStyle w:val="FootnoteReference"/>
        </w:rPr>
        <w:footnoteReference w:id="51"/>
      </w:r>
      <w:r>
        <w:t xml:space="preserve">  </w:t>
      </w:r>
      <w:r w:rsidR="00FF73D0">
        <w:t xml:space="preserve">Knowingly </w:t>
      </w:r>
      <w:r>
        <w:t>provid</w:t>
      </w:r>
      <w:r w:rsidR="00FF73D0">
        <w:t>ing</w:t>
      </w:r>
      <w:r>
        <w:t xml:space="preserve"> </w:t>
      </w:r>
      <w:r w:rsidR="00FF73D0">
        <w:t>false</w:t>
      </w:r>
      <w:r>
        <w:t xml:space="preserve"> information constitutes a Class C felony.</w:t>
      </w:r>
      <w:r w:rsidR="00075874">
        <w:rPr>
          <w:rStyle w:val="FootnoteReference"/>
        </w:rPr>
        <w:footnoteReference w:id="52"/>
      </w:r>
    </w:p>
    <w:p w:rsidR="00697601" w:rsidRDefault="00697601" w:rsidP="00697601">
      <w:pPr>
        <w:tabs>
          <w:tab w:val="left" w:pos="-720"/>
        </w:tabs>
        <w:suppressAutoHyphens/>
      </w:pPr>
    </w:p>
    <w:p w:rsidR="00697601" w:rsidRDefault="00697601" w:rsidP="00697601">
      <w:pPr>
        <w:pStyle w:val="Heading2"/>
      </w:pPr>
      <w:r>
        <w:t>May an Advanced Registered Nurse Practitioner (ARNP) prescribe controlled substances?</w:t>
      </w:r>
      <w:r w:rsidR="00D53960">
        <w:t xml:space="preserve"> </w:t>
      </w:r>
    </w:p>
    <w:p w:rsidR="00697601" w:rsidRDefault="00697601" w:rsidP="00697601">
      <w:pPr>
        <w:keepNext/>
        <w:keepLines/>
        <w:widowControl w:val="0"/>
        <w:tabs>
          <w:tab w:val="left" w:pos="-720"/>
        </w:tabs>
        <w:suppressAutoHyphens/>
      </w:pPr>
    </w:p>
    <w:p w:rsidR="00697601" w:rsidRPr="005817B0" w:rsidRDefault="00697601" w:rsidP="00697601">
      <w:pPr>
        <w:tabs>
          <w:tab w:val="left" w:pos="-720"/>
        </w:tabs>
        <w:suppressAutoHyphens/>
        <w:rPr>
          <w:b/>
        </w:rPr>
      </w:pPr>
      <w:r>
        <w:tab/>
        <w:t>Upon approval from the Nursing Care Quality Assurance Commission (NCQAC), an ARNP may prescribe Schedule V controlled substances</w:t>
      </w:r>
      <w:r w:rsidR="00A073D8">
        <w:t xml:space="preserve"> and, su</w:t>
      </w:r>
      <w:r w:rsidR="009E3B5B">
        <w:t>bject to statutory guidelines, controlled substances contained in Schedules II through IV</w:t>
      </w:r>
      <w:r>
        <w:t>.</w:t>
      </w:r>
      <w:r w:rsidR="005A3F28">
        <w:rPr>
          <w:rStyle w:val="FootnoteReference"/>
        </w:rPr>
        <w:footnoteReference w:id="53"/>
      </w:r>
      <w:r>
        <w:t xml:space="preserve">  </w:t>
      </w:r>
      <w:r>
        <w:rPr>
          <w:u w:val="single"/>
        </w:rPr>
        <w:t>See</w:t>
      </w:r>
      <w:r>
        <w:t xml:space="preserve"> </w:t>
      </w:r>
      <w:r>
        <w:rPr>
          <w:b/>
        </w:rPr>
        <w:t>NURSES.</w:t>
      </w:r>
    </w:p>
    <w:p w:rsidR="005817B0" w:rsidRDefault="005817B0" w:rsidP="00697601">
      <w:pPr>
        <w:pStyle w:val="Heading2"/>
      </w:pPr>
    </w:p>
    <w:p w:rsidR="00697601" w:rsidRDefault="00697601" w:rsidP="00697601">
      <w:pPr>
        <w:pStyle w:val="Heading2"/>
      </w:pPr>
      <w:r>
        <w:t>May a Physician Assistant (PA) prescribe controlled substances?</w:t>
      </w:r>
    </w:p>
    <w:p w:rsidR="00697601" w:rsidRDefault="00697601" w:rsidP="00697601">
      <w:pPr>
        <w:keepNext/>
        <w:keepLines/>
        <w:widowControl w:val="0"/>
        <w:tabs>
          <w:tab w:val="left" w:pos="-720"/>
        </w:tabs>
        <w:suppressAutoHyphens/>
      </w:pPr>
    </w:p>
    <w:p w:rsidR="005A12F2" w:rsidRDefault="00697601" w:rsidP="00697601">
      <w:r>
        <w:tab/>
        <w:t>A physician assistant may prescribe controlled substances only if specifically approved by the Medical Quality Assurance Commission (MQAC).</w:t>
      </w:r>
      <w:r w:rsidR="00BA02D9">
        <w:rPr>
          <w:rStyle w:val="FootnoteReference"/>
        </w:rPr>
        <w:footnoteReference w:id="54"/>
      </w:r>
      <w:r>
        <w:t xml:space="preserve">  A certified physician assistant may prescribe controlled substances</w:t>
      </w:r>
      <w:r w:rsidR="008554AB">
        <w:t>, subject to certain conditions</w:t>
      </w:r>
      <w:r>
        <w:t>.</w:t>
      </w:r>
      <w:r w:rsidR="008554AB">
        <w:rPr>
          <w:rStyle w:val="FootnoteReference"/>
        </w:rPr>
        <w:footnoteReference w:id="55"/>
      </w:r>
      <w:r>
        <w:t xml:space="preserve">  </w:t>
      </w:r>
      <w:r>
        <w:rPr>
          <w:u w:val="single"/>
        </w:rPr>
        <w:t>See</w:t>
      </w:r>
      <w:r>
        <w:t xml:space="preserve"> </w:t>
      </w:r>
      <w:r>
        <w:rPr>
          <w:b/>
        </w:rPr>
        <w:t>PHYSICIAN ASSISTANTS</w:t>
      </w:r>
      <w:r>
        <w:t>.</w:t>
      </w:r>
    </w:p>
    <w:p w:rsidR="00644E8F" w:rsidRDefault="00644E8F" w:rsidP="00697601"/>
    <w:p w:rsidR="00644E8F" w:rsidRDefault="00644E8F" w:rsidP="00697601"/>
    <w:p w:rsidR="00644E8F" w:rsidRPr="00697601" w:rsidRDefault="00644E8F" w:rsidP="00697601"/>
    <w:sectPr w:rsidR="00644E8F" w:rsidRPr="00697601" w:rsidSect="008A44B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54E" w:rsidRDefault="0079654E" w:rsidP="005A3F28">
      <w:r>
        <w:separator/>
      </w:r>
    </w:p>
  </w:endnote>
  <w:endnote w:type="continuationSeparator" w:id="0">
    <w:p w:rsidR="0079654E" w:rsidRDefault="0079654E" w:rsidP="005A3F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54E" w:rsidRDefault="0079654E" w:rsidP="005A3F28">
      <w:r>
        <w:separator/>
      </w:r>
    </w:p>
  </w:footnote>
  <w:footnote w:type="continuationSeparator" w:id="0">
    <w:p w:rsidR="0079654E" w:rsidRDefault="0079654E" w:rsidP="005A3F28">
      <w:r>
        <w:continuationSeparator/>
      </w:r>
    </w:p>
  </w:footnote>
  <w:footnote w:id="1">
    <w:p w:rsidR="0079654E" w:rsidRDefault="0079654E">
      <w:pPr>
        <w:pStyle w:val="FootnoteText"/>
      </w:pPr>
      <w:r>
        <w:rPr>
          <w:rStyle w:val="FootnoteReference"/>
        </w:rPr>
        <w:footnoteRef/>
      </w:r>
      <w:r>
        <w:t xml:space="preserve"> </w:t>
      </w:r>
      <w:proofErr w:type="gramStart"/>
      <w:r>
        <w:t>RCW 69.50.101(d); 21 U.S.C. § 802(6).</w:t>
      </w:r>
      <w:proofErr w:type="gramEnd"/>
    </w:p>
  </w:footnote>
  <w:footnote w:id="2">
    <w:p w:rsidR="0079654E" w:rsidRDefault="0079654E">
      <w:pPr>
        <w:pStyle w:val="FootnoteText"/>
      </w:pPr>
      <w:r>
        <w:rPr>
          <w:rStyle w:val="FootnoteReference"/>
        </w:rPr>
        <w:footnoteRef/>
      </w:r>
      <w:r>
        <w:t xml:space="preserve"> RCW 69.50.203(a); 21 U.S.C. § 812(b</w:t>
      </w:r>
      <w:proofErr w:type="gramStart"/>
      <w:r>
        <w:t>)(</w:t>
      </w:r>
      <w:proofErr w:type="gramEnd"/>
      <w:r>
        <w:t>1).</w:t>
      </w:r>
    </w:p>
  </w:footnote>
  <w:footnote w:id="3">
    <w:p w:rsidR="0079654E" w:rsidRDefault="0079654E" w:rsidP="007B33C2">
      <w:pPr>
        <w:pStyle w:val="FootnoteText"/>
      </w:pPr>
      <w:r>
        <w:rPr>
          <w:rStyle w:val="FootnoteReference"/>
        </w:rPr>
        <w:footnoteRef/>
      </w:r>
      <w:r>
        <w:t xml:space="preserve"> RCW 69.50.205(a); 21 U.S.C. § 812(b</w:t>
      </w:r>
      <w:proofErr w:type="gramStart"/>
      <w:r>
        <w:t>)(</w:t>
      </w:r>
      <w:proofErr w:type="gramEnd"/>
      <w:r>
        <w:t>2).</w:t>
      </w:r>
    </w:p>
  </w:footnote>
  <w:footnote w:id="4">
    <w:p w:rsidR="0079654E" w:rsidRDefault="0079654E">
      <w:pPr>
        <w:pStyle w:val="FootnoteText"/>
      </w:pPr>
      <w:r>
        <w:rPr>
          <w:rStyle w:val="FootnoteReference"/>
        </w:rPr>
        <w:footnoteRef/>
      </w:r>
      <w:r>
        <w:t xml:space="preserve"> RCW 69.50.207(a); 21 U.S.C. § 812(b</w:t>
      </w:r>
      <w:proofErr w:type="gramStart"/>
      <w:r>
        <w:t>)(</w:t>
      </w:r>
      <w:proofErr w:type="gramEnd"/>
      <w:r>
        <w:t>3).</w:t>
      </w:r>
    </w:p>
  </w:footnote>
  <w:footnote w:id="5">
    <w:p w:rsidR="0079654E" w:rsidRDefault="0079654E">
      <w:pPr>
        <w:pStyle w:val="FootnoteText"/>
      </w:pPr>
      <w:r>
        <w:rPr>
          <w:rStyle w:val="FootnoteReference"/>
        </w:rPr>
        <w:footnoteRef/>
      </w:r>
      <w:r>
        <w:t xml:space="preserve"> RCW 69.50.209(a); 21 U.S.C. § 812(b</w:t>
      </w:r>
      <w:proofErr w:type="gramStart"/>
      <w:r>
        <w:t>)(</w:t>
      </w:r>
      <w:proofErr w:type="gramEnd"/>
      <w:r>
        <w:t>4).</w:t>
      </w:r>
    </w:p>
  </w:footnote>
  <w:footnote w:id="6">
    <w:p w:rsidR="0079654E" w:rsidRDefault="0079654E">
      <w:pPr>
        <w:pStyle w:val="FootnoteText"/>
      </w:pPr>
      <w:r>
        <w:rPr>
          <w:rStyle w:val="FootnoteReference"/>
        </w:rPr>
        <w:footnoteRef/>
      </w:r>
      <w:r>
        <w:t xml:space="preserve"> RCW 69.50.211(a); 21 U.S.C. § 812(b</w:t>
      </w:r>
      <w:proofErr w:type="gramStart"/>
      <w:r>
        <w:t>)(</w:t>
      </w:r>
      <w:proofErr w:type="gramEnd"/>
      <w:r>
        <w:t>5).</w:t>
      </w:r>
    </w:p>
  </w:footnote>
  <w:footnote w:id="7">
    <w:p w:rsidR="0079654E" w:rsidRDefault="0079654E">
      <w:pPr>
        <w:pStyle w:val="FootnoteText"/>
      </w:pPr>
      <w:r>
        <w:rPr>
          <w:rStyle w:val="FootnoteReference"/>
        </w:rPr>
        <w:footnoteRef/>
      </w:r>
      <w:r>
        <w:t xml:space="preserve"> </w:t>
      </w:r>
      <w:proofErr w:type="gramStart"/>
      <w:r>
        <w:t>21 C.F.R. § 1301.11(a); 21 U.S.C. § 822(a).</w:t>
      </w:r>
      <w:proofErr w:type="gramEnd"/>
    </w:p>
  </w:footnote>
  <w:footnote w:id="8">
    <w:p w:rsidR="0079654E" w:rsidRDefault="0079654E">
      <w:pPr>
        <w:pStyle w:val="FootnoteText"/>
      </w:pPr>
      <w:r>
        <w:rPr>
          <w:rStyle w:val="FootnoteReference"/>
        </w:rPr>
        <w:footnoteRef/>
      </w:r>
      <w:r>
        <w:t xml:space="preserve"> 21 U.S.C. § 823(g</w:t>
      </w:r>
      <w:proofErr w:type="gramStart"/>
      <w:r>
        <w:t>)(</w:t>
      </w:r>
      <w:proofErr w:type="gramEnd"/>
      <w:r>
        <w:t>1).</w:t>
      </w:r>
    </w:p>
  </w:footnote>
  <w:footnote w:id="9">
    <w:p w:rsidR="0079654E" w:rsidRDefault="0079654E">
      <w:pPr>
        <w:pStyle w:val="FootnoteText"/>
      </w:pPr>
      <w:r>
        <w:rPr>
          <w:rStyle w:val="FootnoteReference"/>
        </w:rPr>
        <w:footnoteRef/>
      </w:r>
      <w:r>
        <w:t xml:space="preserve"> See 21 C.F.R. §§ 1301.13(e), 1301.14(a), 1321.01. </w:t>
      </w:r>
    </w:p>
  </w:footnote>
  <w:footnote w:id="10">
    <w:p w:rsidR="0079654E" w:rsidRDefault="0079654E">
      <w:pPr>
        <w:pStyle w:val="FootnoteText"/>
      </w:pPr>
      <w:r>
        <w:rPr>
          <w:rStyle w:val="FootnoteReference"/>
        </w:rPr>
        <w:footnoteRef/>
      </w:r>
      <w:r>
        <w:t xml:space="preserve"> </w:t>
      </w:r>
      <w:proofErr w:type="gramStart"/>
      <w:r>
        <w:t>RCW 69.50.302(d).</w:t>
      </w:r>
      <w:proofErr w:type="gramEnd"/>
    </w:p>
  </w:footnote>
  <w:footnote w:id="11">
    <w:p w:rsidR="0079654E" w:rsidRDefault="0079654E">
      <w:pPr>
        <w:pStyle w:val="FootnoteText"/>
      </w:pPr>
      <w:r>
        <w:rPr>
          <w:rStyle w:val="FootnoteReference"/>
        </w:rPr>
        <w:footnoteRef/>
      </w:r>
      <w:r>
        <w:t xml:space="preserve"> See RCW 69.50.304(a).</w:t>
      </w:r>
    </w:p>
  </w:footnote>
  <w:footnote w:id="12">
    <w:p w:rsidR="0079654E" w:rsidRDefault="0079654E">
      <w:pPr>
        <w:pStyle w:val="FootnoteText"/>
      </w:pPr>
      <w:r>
        <w:rPr>
          <w:rStyle w:val="FootnoteReference"/>
        </w:rPr>
        <w:footnoteRef/>
      </w:r>
      <w:r>
        <w:t xml:space="preserve"> </w:t>
      </w:r>
      <w:proofErr w:type="gramStart"/>
      <w:r>
        <w:t>21 U.S.C. § 824(a).</w:t>
      </w:r>
      <w:proofErr w:type="gramEnd"/>
    </w:p>
  </w:footnote>
  <w:footnote w:id="13">
    <w:p w:rsidR="0079654E" w:rsidRDefault="0079654E">
      <w:pPr>
        <w:pStyle w:val="FootnoteText"/>
      </w:pPr>
      <w:r>
        <w:rPr>
          <w:rStyle w:val="FootnoteReference"/>
        </w:rPr>
        <w:footnoteRef/>
      </w:r>
      <w:r>
        <w:t xml:space="preserve"> </w:t>
      </w:r>
      <w:proofErr w:type="gramStart"/>
      <w:r>
        <w:t>21 U.S.C. § 824(a).</w:t>
      </w:r>
      <w:proofErr w:type="gramEnd"/>
    </w:p>
  </w:footnote>
  <w:footnote w:id="14">
    <w:p w:rsidR="0079654E" w:rsidRDefault="0079654E" w:rsidP="00F732E5">
      <w:pPr>
        <w:pStyle w:val="FootnoteText"/>
      </w:pPr>
      <w:r>
        <w:rPr>
          <w:rStyle w:val="FootnoteReference"/>
        </w:rPr>
        <w:footnoteRef/>
      </w:r>
      <w:r>
        <w:t xml:space="preserve"> </w:t>
      </w:r>
      <w:proofErr w:type="gramStart"/>
      <w:r>
        <w:t>RCW 69.50.304(a).</w:t>
      </w:r>
      <w:proofErr w:type="gramEnd"/>
    </w:p>
  </w:footnote>
  <w:footnote w:id="15">
    <w:p w:rsidR="0079654E" w:rsidRDefault="0079654E">
      <w:pPr>
        <w:pStyle w:val="FootnoteText"/>
      </w:pPr>
      <w:r>
        <w:rPr>
          <w:rStyle w:val="FootnoteReference"/>
        </w:rPr>
        <w:footnoteRef/>
      </w:r>
      <w:r>
        <w:t xml:space="preserve"> See also WAC 246-887-290.</w:t>
      </w:r>
    </w:p>
  </w:footnote>
  <w:footnote w:id="16">
    <w:p w:rsidR="0079654E" w:rsidRDefault="0079654E">
      <w:pPr>
        <w:pStyle w:val="FootnoteText"/>
      </w:pPr>
      <w:r>
        <w:rPr>
          <w:rStyle w:val="FootnoteReference"/>
        </w:rPr>
        <w:footnoteRef/>
      </w:r>
      <w:r>
        <w:t xml:space="preserve"> </w:t>
      </w:r>
      <w:proofErr w:type="gramStart"/>
      <w:r>
        <w:t>21 C.F.R. § 1306.04(a).</w:t>
      </w:r>
      <w:proofErr w:type="gramEnd"/>
    </w:p>
  </w:footnote>
  <w:footnote w:id="17">
    <w:p w:rsidR="0079654E" w:rsidRDefault="0079654E">
      <w:pPr>
        <w:pStyle w:val="FootnoteText"/>
      </w:pPr>
      <w:r>
        <w:rPr>
          <w:rStyle w:val="FootnoteReference"/>
        </w:rPr>
        <w:footnoteRef/>
      </w:r>
      <w:r>
        <w:t xml:space="preserve"> </w:t>
      </w:r>
      <w:proofErr w:type="gramStart"/>
      <w:r>
        <w:t>21 C.F.R. § 1306.04(b).</w:t>
      </w:r>
      <w:proofErr w:type="gramEnd"/>
    </w:p>
  </w:footnote>
  <w:footnote w:id="18">
    <w:p w:rsidR="0079654E" w:rsidRDefault="0079654E">
      <w:pPr>
        <w:pStyle w:val="FootnoteText"/>
      </w:pPr>
      <w:r>
        <w:rPr>
          <w:rStyle w:val="FootnoteReference"/>
        </w:rPr>
        <w:footnoteRef/>
      </w:r>
      <w:r>
        <w:t xml:space="preserve"> See 21 C.F.R. §§ 1305.03, 1307.11(a).</w:t>
      </w:r>
    </w:p>
  </w:footnote>
  <w:footnote w:id="19">
    <w:p w:rsidR="0079654E" w:rsidRDefault="0079654E">
      <w:pPr>
        <w:pStyle w:val="FootnoteText"/>
      </w:pPr>
      <w:r>
        <w:rPr>
          <w:rStyle w:val="FootnoteReference"/>
        </w:rPr>
        <w:footnoteRef/>
      </w:r>
      <w:r>
        <w:t xml:space="preserve"> See 21 U.S.C. § 822(a</w:t>
      </w:r>
      <w:proofErr w:type="gramStart"/>
      <w:r>
        <w:t>)(</w:t>
      </w:r>
      <w:proofErr w:type="gramEnd"/>
      <w:r>
        <w:t>1).</w:t>
      </w:r>
    </w:p>
  </w:footnote>
  <w:footnote w:id="20">
    <w:p w:rsidR="0079654E" w:rsidRDefault="0079654E">
      <w:pPr>
        <w:pStyle w:val="FootnoteText"/>
      </w:pPr>
      <w:r>
        <w:rPr>
          <w:rStyle w:val="FootnoteReference"/>
        </w:rPr>
        <w:footnoteRef/>
      </w:r>
      <w:r>
        <w:t xml:space="preserve"> See 21 C.F.R. § 1301.28.</w:t>
      </w:r>
    </w:p>
  </w:footnote>
  <w:footnote w:id="21">
    <w:p w:rsidR="0079654E" w:rsidRDefault="0079654E">
      <w:pPr>
        <w:pStyle w:val="FootnoteText"/>
      </w:pPr>
      <w:r>
        <w:rPr>
          <w:rStyle w:val="FootnoteReference"/>
        </w:rPr>
        <w:footnoteRef/>
      </w:r>
      <w:r>
        <w:t xml:space="preserve"> </w:t>
      </w:r>
      <w:proofErr w:type="gramStart"/>
      <w:r>
        <w:t>21 C.F.R. §§ 1306.04(c), 1306.07(d).</w:t>
      </w:r>
      <w:proofErr w:type="gramEnd"/>
    </w:p>
  </w:footnote>
  <w:footnote w:id="22">
    <w:p w:rsidR="0079654E" w:rsidRDefault="0079654E">
      <w:pPr>
        <w:pStyle w:val="FootnoteText"/>
      </w:pPr>
      <w:r>
        <w:rPr>
          <w:rStyle w:val="FootnoteReference"/>
        </w:rPr>
        <w:footnoteRef/>
      </w:r>
      <w:r>
        <w:t xml:space="preserve"> </w:t>
      </w:r>
      <w:proofErr w:type="gramStart"/>
      <w:r>
        <w:t>21 C.F.R. § 1306.07(a).</w:t>
      </w:r>
      <w:proofErr w:type="gramEnd"/>
    </w:p>
  </w:footnote>
  <w:footnote w:id="23">
    <w:p w:rsidR="0079654E" w:rsidRDefault="0079654E">
      <w:pPr>
        <w:pStyle w:val="FootnoteText"/>
      </w:pPr>
      <w:r>
        <w:rPr>
          <w:rStyle w:val="FootnoteReference"/>
        </w:rPr>
        <w:footnoteRef/>
      </w:r>
      <w:r>
        <w:t xml:space="preserve"> </w:t>
      </w:r>
      <w:proofErr w:type="gramStart"/>
      <w:r>
        <w:t>21 C.F.R. § 1306.07(b).</w:t>
      </w:r>
      <w:proofErr w:type="gramEnd"/>
    </w:p>
  </w:footnote>
  <w:footnote w:id="24">
    <w:p w:rsidR="0079654E" w:rsidRDefault="0079654E">
      <w:pPr>
        <w:pStyle w:val="FootnoteText"/>
      </w:pPr>
      <w:r>
        <w:rPr>
          <w:rStyle w:val="FootnoteReference"/>
        </w:rPr>
        <w:footnoteRef/>
      </w:r>
      <w:r>
        <w:t xml:space="preserve"> </w:t>
      </w:r>
      <w:proofErr w:type="gramStart"/>
      <w:r>
        <w:t>RCW 69.41.010(13).</w:t>
      </w:r>
      <w:proofErr w:type="gramEnd"/>
      <w:r>
        <w:t xml:space="preserve">  See also 21 C.F.R. § 1306.05(d).</w:t>
      </w:r>
    </w:p>
  </w:footnote>
  <w:footnote w:id="25">
    <w:p w:rsidR="0079654E" w:rsidRDefault="0079654E" w:rsidP="00D7176C">
      <w:pPr>
        <w:pStyle w:val="FootnoteText"/>
      </w:pPr>
      <w:r>
        <w:rPr>
          <w:rStyle w:val="FootnoteReference"/>
        </w:rPr>
        <w:footnoteRef/>
      </w:r>
      <w:r>
        <w:t xml:space="preserve"> </w:t>
      </w:r>
      <w:proofErr w:type="gramStart"/>
      <w:r>
        <w:t>WAC 246-870-020(1).</w:t>
      </w:r>
      <w:proofErr w:type="gramEnd"/>
      <w:r>
        <w:t xml:space="preserve">  See also RCW 69.50.101(n).</w:t>
      </w:r>
    </w:p>
  </w:footnote>
  <w:footnote w:id="26">
    <w:p w:rsidR="0079654E" w:rsidRPr="00150B0F" w:rsidRDefault="0079654E">
      <w:pPr>
        <w:pStyle w:val="FootnoteText"/>
      </w:pPr>
      <w:r>
        <w:rPr>
          <w:rStyle w:val="FootnoteReference"/>
        </w:rPr>
        <w:footnoteRef/>
      </w:r>
      <w:r>
        <w:t xml:space="preserve"> See generally 21 C.F.R. §§ 1311 </w:t>
      </w:r>
      <w:r>
        <w:rPr>
          <w:i/>
        </w:rPr>
        <w:t>et seq</w:t>
      </w:r>
      <w:r>
        <w:t>.</w:t>
      </w:r>
    </w:p>
  </w:footnote>
  <w:footnote w:id="27">
    <w:p w:rsidR="0079654E" w:rsidRDefault="0079654E">
      <w:pPr>
        <w:pStyle w:val="FootnoteText"/>
      </w:pPr>
      <w:r>
        <w:rPr>
          <w:rStyle w:val="FootnoteReference"/>
        </w:rPr>
        <w:footnoteRef/>
      </w:r>
      <w:r>
        <w:t xml:space="preserve"> </w:t>
      </w:r>
      <w:proofErr w:type="gramStart"/>
      <w:r>
        <w:t>WAC 246-870-040.</w:t>
      </w:r>
      <w:proofErr w:type="gramEnd"/>
      <w:r>
        <w:t xml:space="preserve">  See also 21 C.F.R. § 1306.08.</w:t>
      </w:r>
    </w:p>
  </w:footnote>
  <w:footnote w:id="28">
    <w:p w:rsidR="0079654E" w:rsidRDefault="0079654E">
      <w:pPr>
        <w:pStyle w:val="FootnoteText"/>
      </w:pPr>
      <w:r>
        <w:rPr>
          <w:rStyle w:val="FootnoteReference"/>
        </w:rPr>
        <w:footnoteRef/>
      </w:r>
      <w:r>
        <w:t xml:space="preserve"> </w:t>
      </w:r>
      <w:proofErr w:type="gramStart"/>
      <w:r>
        <w:t>WAC 246-870-040.</w:t>
      </w:r>
      <w:proofErr w:type="gramEnd"/>
    </w:p>
  </w:footnote>
  <w:footnote w:id="29">
    <w:p w:rsidR="0079654E" w:rsidRDefault="0079654E">
      <w:pPr>
        <w:pStyle w:val="FootnoteText"/>
      </w:pPr>
      <w:r>
        <w:rPr>
          <w:rStyle w:val="FootnoteReference"/>
        </w:rPr>
        <w:footnoteRef/>
      </w:r>
      <w:r>
        <w:t xml:space="preserve"> </w:t>
      </w:r>
      <w:proofErr w:type="gramStart"/>
      <w:r>
        <w:t>RCW 69.50.312(b).</w:t>
      </w:r>
      <w:proofErr w:type="gramEnd"/>
    </w:p>
  </w:footnote>
  <w:footnote w:id="30">
    <w:p w:rsidR="0079654E" w:rsidRDefault="0079654E">
      <w:pPr>
        <w:pStyle w:val="FootnoteText"/>
      </w:pPr>
      <w:r>
        <w:rPr>
          <w:rStyle w:val="FootnoteReference"/>
        </w:rPr>
        <w:footnoteRef/>
      </w:r>
      <w:r>
        <w:t xml:space="preserve"> WAC 246-870-060(3</w:t>
      </w:r>
      <w:proofErr w:type="gramStart"/>
      <w:r>
        <w:t>)(</w:t>
      </w:r>
      <w:proofErr w:type="gramEnd"/>
      <w:r>
        <w:t>b).</w:t>
      </w:r>
    </w:p>
  </w:footnote>
  <w:footnote w:id="31">
    <w:p w:rsidR="0079654E" w:rsidRDefault="0079654E">
      <w:pPr>
        <w:pStyle w:val="FootnoteText"/>
      </w:pPr>
      <w:r>
        <w:rPr>
          <w:rStyle w:val="FootnoteReference"/>
        </w:rPr>
        <w:footnoteRef/>
      </w:r>
      <w:r>
        <w:t xml:space="preserve"> See WAC 246-870-060.</w:t>
      </w:r>
    </w:p>
  </w:footnote>
  <w:footnote w:id="32">
    <w:p w:rsidR="0079654E" w:rsidRDefault="0079654E">
      <w:pPr>
        <w:pStyle w:val="FootnoteText"/>
      </w:pPr>
      <w:r>
        <w:rPr>
          <w:rStyle w:val="FootnoteReference"/>
        </w:rPr>
        <w:footnoteRef/>
      </w:r>
      <w:r>
        <w:t xml:space="preserve"> WAC 246-870-060(3</w:t>
      </w:r>
      <w:proofErr w:type="gramStart"/>
      <w:r>
        <w:t>)(</w:t>
      </w:r>
      <w:proofErr w:type="gramEnd"/>
      <w:r>
        <w:t>d).</w:t>
      </w:r>
    </w:p>
  </w:footnote>
  <w:footnote w:id="33">
    <w:p w:rsidR="0079654E" w:rsidRDefault="0079654E">
      <w:pPr>
        <w:pStyle w:val="FootnoteText"/>
      </w:pPr>
      <w:r>
        <w:rPr>
          <w:rStyle w:val="FootnoteReference"/>
        </w:rPr>
        <w:footnoteRef/>
      </w:r>
      <w:r>
        <w:t xml:space="preserve"> WAC 246-870-060(3</w:t>
      </w:r>
      <w:proofErr w:type="gramStart"/>
      <w:r>
        <w:t>)(</w:t>
      </w:r>
      <w:proofErr w:type="gramEnd"/>
      <w:r>
        <w:t>a).</w:t>
      </w:r>
    </w:p>
  </w:footnote>
  <w:footnote w:id="34">
    <w:p w:rsidR="0079654E" w:rsidRDefault="0079654E">
      <w:pPr>
        <w:pStyle w:val="FootnoteText"/>
      </w:pPr>
      <w:r>
        <w:rPr>
          <w:rStyle w:val="FootnoteReference"/>
        </w:rPr>
        <w:footnoteRef/>
      </w:r>
      <w:r>
        <w:t xml:space="preserve"> RCW 69.50.312(1</w:t>
      </w:r>
      <w:proofErr w:type="gramStart"/>
      <w:r>
        <w:t>)(</w:t>
      </w:r>
      <w:proofErr w:type="gramEnd"/>
      <w:r>
        <w:t>b).</w:t>
      </w:r>
    </w:p>
  </w:footnote>
  <w:footnote w:id="35">
    <w:p w:rsidR="0079654E" w:rsidRDefault="0079654E">
      <w:pPr>
        <w:pStyle w:val="FootnoteText"/>
      </w:pPr>
      <w:r>
        <w:rPr>
          <w:rStyle w:val="FootnoteReference"/>
        </w:rPr>
        <w:footnoteRef/>
      </w:r>
      <w:r>
        <w:t xml:space="preserve"> WAC 246-870-030(1)–(11).</w:t>
      </w:r>
    </w:p>
  </w:footnote>
  <w:footnote w:id="36">
    <w:p w:rsidR="0079654E" w:rsidRDefault="0079654E">
      <w:pPr>
        <w:pStyle w:val="FootnoteText"/>
      </w:pPr>
      <w:r>
        <w:rPr>
          <w:rStyle w:val="FootnoteReference"/>
        </w:rPr>
        <w:footnoteRef/>
      </w:r>
      <w:r>
        <w:t xml:space="preserve"> </w:t>
      </w:r>
      <w:proofErr w:type="gramStart"/>
      <w:r>
        <w:t>WAC 246-870-090.</w:t>
      </w:r>
      <w:proofErr w:type="gramEnd"/>
    </w:p>
  </w:footnote>
  <w:footnote w:id="37">
    <w:p w:rsidR="0079654E" w:rsidRDefault="0079654E">
      <w:pPr>
        <w:pStyle w:val="FootnoteText"/>
      </w:pPr>
      <w:r>
        <w:rPr>
          <w:rStyle w:val="FootnoteReference"/>
        </w:rPr>
        <w:footnoteRef/>
      </w:r>
      <w:r>
        <w:t xml:space="preserve"> WAC 246-870-050(1)–(3).  See also RCW 69.50.308(b)–(c) (Schedule II prescriptions).</w:t>
      </w:r>
    </w:p>
  </w:footnote>
  <w:footnote w:id="38">
    <w:p w:rsidR="0079654E" w:rsidRDefault="0079654E">
      <w:pPr>
        <w:pStyle w:val="FootnoteText"/>
      </w:pPr>
      <w:r>
        <w:rPr>
          <w:rStyle w:val="FootnoteReference"/>
        </w:rPr>
        <w:footnoteRef/>
      </w:r>
      <w:r>
        <w:t xml:space="preserve"> </w:t>
      </w:r>
      <w:proofErr w:type="gramStart"/>
      <w:r>
        <w:t>WAC 246-870-050(5).</w:t>
      </w:r>
      <w:proofErr w:type="gramEnd"/>
    </w:p>
  </w:footnote>
  <w:footnote w:id="39">
    <w:p w:rsidR="0079654E" w:rsidRDefault="0079654E">
      <w:pPr>
        <w:pStyle w:val="FootnoteText"/>
      </w:pPr>
      <w:r>
        <w:rPr>
          <w:rStyle w:val="FootnoteReference"/>
        </w:rPr>
        <w:footnoteRef/>
      </w:r>
      <w:r>
        <w:t xml:space="preserve"> </w:t>
      </w:r>
      <w:proofErr w:type="gramStart"/>
      <w:r>
        <w:t>21 U.S.C. § 829(a).</w:t>
      </w:r>
      <w:proofErr w:type="gramEnd"/>
    </w:p>
  </w:footnote>
  <w:footnote w:id="40">
    <w:p w:rsidR="0079654E" w:rsidRDefault="0079654E">
      <w:pPr>
        <w:pStyle w:val="FootnoteText"/>
      </w:pPr>
      <w:r>
        <w:rPr>
          <w:rStyle w:val="FootnoteReference"/>
        </w:rPr>
        <w:footnoteRef/>
      </w:r>
      <w:r>
        <w:t xml:space="preserve"> </w:t>
      </w:r>
      <w:proofErr w:type="gramStart"/>
      <w:r>
        <w:t>21 U.S.C. § 829(b).</w:t>
      </w:r>
      <w:proofErr w:type="gramEnd"/>
    </w:p>
  </w:footnote>
  <w:footnote w:id="41">
    <w:p w:rsidR="0079654E" w:rsidRDefault="0079654E">
      <w:pPr>
        <w:pStyle w:val="FootnoteText"/>
      </w:pPr>
      <w:r>
        <w:rPr>
          <w:rStyle w:val="FootnoteReference"/>
        </w:rPr>
        <w:footnoteRef/>
      </w:r>
      <w:r>
        <w:t xml:space="preserve"> </w:t>
      </w:r>
      <w:proofErr w:type="gramStart"/>
      <w:r>
        <w:t>RCW 18.130.180(6).</w:t>
      </w:r>
      <w:proofErr w:type="gramEnd"/>
      <w:r>
        <w:t xml:space="preserve">  See also RCW 69.50.308(</w:t>
      </w:r>
      <w:proofErr w:type="spellStart"/>
      <w:r>
        <w:t>i</w:t>
      </w:r>
      <w:proofErr w:type="spellEnd"/>
      <w:r>
        <w:t>).</w:t>
      </w:r>
    </w:p>
  </w:footnote>
  <w:footnote w:id="42">
    <w:p w:rsidR="0079654E" w:rsidRDefault="0079654E">
      <w:pPr>
        <w:pStyle w:val="FootnoteText"/>
      </w:pPr>
      <w:r>
        <w:rPr>
          <w:rStyle w:val="FootnoteReference"/>
        </w:rPr>
        <w:footnoteRef/>
      </w:r>
      <w:r>
        <w:t xml:space="preserve"> </w:t>
      </w:r>
      <w:proofErr w:type="gramStart"/>
      <w:r>
        <w:t>21 C.F.R. § 1306.04(a).</w:t>
      </w:r>
      <w:proofErr w:type="gramEnd"/>
      <w:r>
        <w:t xml:space="preserve">  See also RCW 69.50.308(e).</w:t>
      </w:r>
    </w:p>
  </w:footnote>
  <w:footnote w:id="43">
    <w:p w:rsidR="0079654E" w:rsidRDefault="0079654E">
      <w:pPr>
        <w:pStyle w:val="FootnoteText"/>
      </w:pPr>
      <w:r>
        <w:rPr>
          <w:rStyle w:val="FootnoteReference"/>
        </w:rPr>
        <w:footnoteRef/>
      </w:r>
      <w:r>
        <w:t xml:space="preserve"> See 21 C.F.R. §§ 1306.04(c), 1306.07(d)</w:t>
      </w:r>
      <w:r>
        <w:t>, 1301.28</w:t>
      </w:r>
      <w:r>
        <w:t>.</w:t>
      </w:r>
    </w:p>
  </w:footnote>
  <w:footnote w:id="44">
    <w:p w:rsidR="0079654E" w:rsidRDefault="0079654E">
      <w:pPr>
        <w:pStyle w:val="FootnoteText"/>
      </w:pPr>
      <w:r>
        <w:rPr>
          <w:rStyle w:val="FootnoteReference"/>
        </w:rPr>
        <w:footnoteRef/>
      </w:r>
      <w:r>
        <w:t xml:space="preserve"> </w:t>
      </w:r>
      <w:proofErr w:type="gramStart"/>
      <w:r>
        <w:t>See generally RCW 69.50.401–.440 (Article IV of Uniform Controlled Substances Act—Offenses and Penalties); 21 U.S.C. §§ 841–65 (Offenses and Penalties).</w:t>
      </w:r>
      <w:proofErr w:type="gramEnd"/>
    </w:p>
  </w:footnote>
  <w:footnote w:id="45">
    <w:p w:rsidR="0079654E" w:rsidRDefault="0079654E">
      <w:pPr>
        <w:pStyle w:val="FootnoteText"/>
      </w:pPr>
      <w:r>
        <w:rPr>
          <w:rStyle w:val="FootnoteReference"/>
        </w:rPr>
        <w:footnoteRef/>
      </w:r>
      <w:r>
        <w:t xml:space="preserve"> </w:t>
      </w:r>
      <w:proofErr w:type="gramStart"/>
      <w:r>
        <w:t>RCW 69.50.413.</w:t>
      </w:r>
      <w:proofErr w:type="gramEnd"/>
    </w:p>
  </w:footnote>
  <w:footnote w:id="46">
    <w:p w:rsidR="0079654E" w:rsidRDefault="0079654E">
      <w:pPr>
        <w:pStyle w:val="FootnoteText"/>
      </w:pPr>
      <w:r>
        <w:rPr>
          <w:rStyle w:val="FootnoteReference"/>
        </w:rPr>
        <w:footnoteRef/>
      </w:r>
      <w:r>
        <w:t xml:space="preserve"> </w:t>
      </w:r>
      <w:proofErr w:type="gramStart"/>
      <w:r>
        <w:t>RCW 18.130.180(6).</w:t>
      </w:r>
      <w:proofErr w:type="gramEnd"/>
    </w:p>
  </w:footnote>
  <w:footnote w:id="47">
    <w:p w:rsidR="0079654E" w:rsidRDefault="0079654E">
      <w:pPr>
        <w:pStyle w:val="FootnoteText"/>
      </w:pPr>
      <w:r>
        <w:rPr>
          <w:rStyle w:val="FootnoteReference"/>
        </w:rPr>
        <w:footnoteRef/>
      </w:r>
      <w:r>
        <w:t xml:space="preserve"> RCW 18.130.180(23</w:t>
      </w:r>
      <w:proofErr w:type="gramStart"/>
      <w:r>
        <w:t>)(</w:t>
      </w:r>
      <w:proofErr w:type="gramEnd"/>
      <w:r>
        <w:t>b).</w:t>
      </w:r>
    </w:p>
  </w:footnote>
  <w:footnote w:id="48">
    <w:p w:rsidR="0079654E" w:rsidRDefault="0079654E">
      <w:pPr>
        <w:pStyle w:val="FootnoteText"/>
      </w:pPr>
      <w:r>
        <w:rPr>
          <w:rStyle w:val="FootnoteReference"/>
        </w:rPr>
        <w:footnoteRef/>
      </w:r>
      <w:r>
        <w:t xml:space="preserve"> </w:t>
      </w:r>
      <w:proofErr w:type="gramStart"/>
      <w:r>
        <w:t>WAC 246-887-200(4).</w:t>
      </w:r>
      <w:proofErr w:type="gramEnd"/>
      <w:r>
        <w:t xml:space="preserve">  See also WAC 246-887-020(3).</w:t>
      </w:r>
    </w:p>
  </w:footnote>
  <w:footnote w:id="49">
    <w:p w:rsidR="0079654E" w:rsidRDefault="0079654E">
      <w:pPr>
        <w:pStyle w:val="FootnoteText"/>
      </w:pPr>
      <w:r>
        <w:rPr>
          <w:rStyle w:val="FootnoteReference"/>
        </w:rPr>
        <w:footnoteRef/>
      </w:r>
      <w:r>
        <w:t xml:space="preserve"> </w:t>
      </w:r>
      <w:proofErr w:type="gramStart"/>
      <w:r>
        <w:t>21 C.F.R. § 1307.21.</w:t>
      </w:r>
      <w:proofErr w:type="gramEnd"/>
      <w:r>
        <w:t xml:space="preserve">  See also WAC 246-887-200(4), -270(6).</w:t>
      </w:r>
    </w:p>
  </w:footnote>
  <w:footnote w:id="50">
    <w:p w:rsidR="0079654E" w:rsidRDefault="0079654E">
      <w:pPr>
        <w:pStyle w:val="FootnoteText"/>
      </w:pPr>
      <w:r>
        <w:rPr>
          <w:rStyle w:val="FootnoteReference"/>
        </w:rPr>
        <w:footnoteRef/>
      </w:r>
      <w:r>
        <w:t xml:space="preserve"> 21 C.F.R. § 1301.76(b); WAC 246-887-020(3</w:t>
      </w:r>
      <w:proofErr w:type="gramStart"/>
      <w:r>
        <w:t>)(</w:t>
      </w:r>
      <w:proofErr w:type="gramEnd"/>
      <w:r>
        <w:t>c).</w:t>
      </w:r>
    </w:p>
  </w:footnote>
  <w:footnote w:id="51">
    <w:p w:rsidR="0079654E" w:rsidRDefault="0079654E">
      <w:pPr>
        <w:pStyle w:val="FootnoteText"/>
      </w:pPr>
      <w:r>
        <w:rPr>
          <w:rStyle w:val="FootnoteReference"/>
        </w:rPr>
        <w:footnoteRef/>
      </w:r>
      <w:r>
        <w:t xml:space="preserve"> </w:t>
      </w:r>
      <w:proofErr w:type="gramStart"/>
      <w:r>
        <w:t>RCW 69.43.060(1).</w:t>
      </w:r>
      <w:proofErr w:type="gramEnd"/>
    </w:p>
  </w:footnote>
  <w:footnote w:id="52">
    <w:p w:rsidR="0079654E" w:rsidRDefault="0079654E">
      <w:pPr>
        <w:pStyle w:val="FootnoteText"/>
      </w:pPr>
      <w:r>
        <w:rPr>
          <w:rStyle w:val="FootnoteReference"/>
        </w:rPr>
        <w:footnoteRef/>
      </w:r>
      <w:r>
        <w:t xml:space="preserve"> </w:t>
      </w:r>
      <w:proofErr w:type="gramStart"/>
      <w:r>
        <w:t>RCW 69.43.080.</w:t>
      </w:r>
      <w:proofErr w:type="gramEnd"/>
    </w:p>
  </w:footnote>
  <w:footnote w:id="53">
    <w:p w:rsidR="0079654E" w:rsidRDefault="0079654E">
      <w:pPr>
        <w:pStyle w:val="FootnoteText"/>
      </w:pPr>
      <w:r>
        <w:rPr>
          <w:rStyle w:val="FootnoteReference"/>
        </w:rPr>
        <w:footnoteRef/>
      </w:r>
      <w:r>
        <w:t xml:space="preserve"> RCW 18.79.050; RCW 18.79.240(1</w:t>
      </w:r>
      <w:proofErr w:type="gramStart"/>
      <w:r>
        <w:t>)(</w:t>
      </w:r>
      <w:proofErr w:type="gramEnd"/>
      <w:r>
        <w:t>r)–(s).</w:t>
      </w:r>
    </w:p>
  </w:footnote>
  <w:footnote w:id="54">
    <w:p w:rsidR="0079654E" w:rsidRDefault="0079654E">
      <w:pPr>
        <w:pStyle w:val="FootnoteText"/>
      </w:pPr>
      <w:r>
        <w:rPr>
          <w:rStyle w:val="FootnoteReference"/>
        </w:rPr>
        <w:footnoteRef/>
      </w:r>
      <w:r>
        <w:t xml:space="preserve"> </w:t>
      </w:r>
      <w:proofErr w:type="gramStart"/>
      <w:r>
        <w:t>WAC 246-918-130(2).</w:t>
      </w:r>
      <w:proofErr w:type="gramEnd"/>
    </w:p>
  </w:footnote>
  <w:footnote w:id="55">
    <w:p w:rsidR="0079654E" w:rsidRDefault="0079654E">
      <w:pPr>
        <w:pStyle w:val="FootnoteText"/>
      </w:pPr>
      <w:r>
        <w:rPr>
          <w:rStyle w:val="FootnoteReference"/>
        </w:rPr>
        <w:footnoteRef/>
      </w:r>
      <w:r>
        <w:t xml:space="preserve"> See WAC 246-918-035.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92154"/>
    <w:multiLevelType w:val="hybridMultilevel"/>
    <w:tmpl w:val="945061FE"/>
    <w:lvl w:ilvl="0" w:tplc="04090001">
      <w:start w:val="1"/>
      <w:numFmt w:val="bullet"/>
      <w:lvlText w:val=""/>
      <w:lvlJc w:val="left"/>
      <w:pPr>
        <w:tabs>
          <w:tab w:val="num" w:pos="720"/>
        </w:tabs>
        <w:ind w:left="720" w:hanging="360"/>
      </w:pPr>
      <w:rPr>
        <w:rFonts w:ascii="Symbol" w:hAnsi="Symbol" w:hint="default"/>
      </w:rPr>
    </w:lvl>
    <w:lvl w:ilvl="1" w:tplc="5952F90A">
      <w:start w:val="1"/>
      <w:numFmt w:val="bullet"/>
      <w:lvlText w:val=""/>
      <w:lvlJc w:val="left"/>
      <w:pPr>
        <w:tabs>
          <w:tab w:val="num" w:pos="180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6C7DD9"/>
    <w:multiLevelType w:val="hybridMultilevel"/>
    <w:tmpl w:val="CA7C94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E526E1"/>
    <w:multiLevelType w:val="hybridMultilevel"/>
    <w:tmpl w:val="7B54D7F2"/>
    <w:lvl w:ilvl="0" w:tplc="04090001">
      <w:start w:val="1"/>
      <w:numFmt w:val="bullet"/>
      <w:lvlText w:val=""/>
      <w:lvlJc w:val="left"/>
      <w:pPr>
        <w:tabs>
          <w:tab w:val="num" w:pos="720"/>
        </w:tabs>
        <w:ind w:left="720" w:hanging="360"/>
      </w:pPr>
      <w:rPr>
        <w:rFonts w:ascii="Symbol" w:hAnsi="Symbol" w:hint="default"/>
      </w:rPr>
    </w:lvl>
    <w:lvl w:ilvl="1" w:tplc="5952F90A">
      <w:start w:val="1"/>
      <w:numFmt w:val="bullet"/>
      <w:lvlText w:val=""/>
      <w:lvlJc w:val="left"/>
      <w:pPr>
        <w:tabs>
          <w:tab w:val="num" w:pos="180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0B4F3E"/>
    <w:multiLevelType w:val="hybridMultilevel"/>
    <w:tmpl w:val="6E7299EE"/>
    <w:lvl w:ilvl="0" w:tplc="04090001">
      <w:start w:val="1"/>
      <w:numFmt w:val="bullet"/>
      <w:lvlText w:val=""/>
      <w:lvlJc w:val="left"/>
      <w:pPr>
        <w:tabs>
          <w:tab w:val="num" w:pos="720"/>
        </w:tabs>
        <w:ind w:left="720" w:hanging="360"/>
      </w:pPr>
      <w:rPr>
        <w:rFonts w:ascii="Symbol" w:hAnsi="Symbol" w:hint="default"/>
      </w:rPr>
    </w:lvl>
    <w:lvl w:ilvl="1" w:tplc="5952F90A">
      <w:start w:val="1"/>
      <w:numFmt w:val="bullet"/>
      <w:lvlText w:val=""/>
      <w:lvlJc w:val="left"/>
      <w:pPr>
        <w:tabs>
          <w:tab w:val="num" w:pos="180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575751"/>
    <w:multiLevelType w:val="hybridMultilevel"/>
    <w:tmpl w:val="2E8A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76420"/>
    <w:multiLevelType w:val="hybridMultilevel"/>
    <w:tmpl w:val="B6DA54F2"/>
    <w:lvl w:ilvl="0" w:tplc="04090001">
      <w:start w:val="1"/>
      <w:numFmt w:val="bullet"/>
      <w:lvlText w:val=""/>
      <w:lvlJc w:val="left"/>
      <w:pPr>
        <w:tabs>
          <w:tab w:val="num" w:pos="720"/>
        </w:tabs>
        <w:ind w:left="720" w:hanging="360"/>
      </w:pPr>
      <w:rPr>
        <w:rFonts w:ascii="Symbol" w:hAnsi="Symbol" w:hint="default"/>
      </w:rPr>
    </w:lvl>
    <w:lvl w:ilvl="1" w:tplc="5952F90A">
      <w:start w:val="1"/>
      <w:numFmt w:val="bullet"/>
      <w:lvlText w:val=""/>
      <w:lvlJc w:val="left"/>
      <w:pPr>
        <w:tabs>
          <w:tab w:val="num" w:pos="180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AD83689"/>
    <w:multiLevelType w:val="hybridMultilevel"/>
    <w:tmpl w:val="D870FD06"/>
    <w:lvl w:ilvl="0" w:tplc="04090001">
      <w:start w:val="1"/>
      <w:numFmt w:val="bullet"/>
      <w:lvlText w:val=""/>
      <w:lvlJc w:val="left"/>
      <w:pPr>
        <w:tabs>
          <w:tab w:val="num" w:pos="720"/>
        </w:tabs>
        <w:ind w:left="720" w:hanging="360"/>
      </w:pPr>
      <w:rPr>
        <w:rFonts w:ascii="Symbol" w:hAnsi="Symbol" w:hint="default"/>
      </w:rPr>
    </w:lvl>
    <w:lvl w:ilvl="1" w:tplc="5952F90A">
      <w:start w:val="1"/>
      <w:numFmt w:val="bullet"/>
      <w:lvlText w:val=""/>
      <w:lvlJc w:val="left"/>
      <w:pPr>
        <w:tabs>
          <w:tab w:val="num" w:pos="180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A926C7"/>
    <w:multiLevelType w:val="hybridMultilevel"/>
    <w:tmpl w:val="B8948D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2"/>
  </w:num>
  <w:num w:numId="7">
    <w:abstractNumId w:val="0"/>
  </w:num>
  <w:num w:numId="8">
    <w:abstractNumId w:val="9"/>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97601"/>
    <w:rsid w:val="0000126B"/>
    <w:rsid w:val="00002782"/>
    <w:rsid w:val="00002C59"/>
    <w:rsid w:val="00011BCB"/>
    <w:rsid w:val="000123F3"/>
    <w:rsid w:val="00013E7D"/>
    <w:rsid w:val="00014CA1"/>
    <w:rsid w:val="00022BF8"/>
    <w:rsid w:val="0002418C"/>
    <w:rsid w:val="00025DEB"/>
    <w:rsid w:val="00026148"/>
    <w:rsid w:val="00030288"/>
    <w:rsid w:val="00031B29"/>
    <w:rsid w:val="00033A5D"/>
    <w:rsid w:val="00035B5C"/>
    <w:rsid w:val="00041736"/>
    <w:rsid w:val="00043C6A"/>
    <w:rsid w:val="00051550"/>
    <w:rsid w:val="00057B1E"/>
    <w:rsid w:val="00075874"/>
    <w:rsid w:val="00085DDB"/>
    <w:rsid w:val="00095F29"/>
    <w:rsid w:val="000972DA"/>
    <w:rsid w:val="000A0FA7"/>
    <w:rsid w:val="000A4FC9"/>
    <w:rsid w:val="000A71DC"/>
    <w:rsid w:val="000B0BB8"/>
    <w:rsid w:val="000B3034"/>
    <w:rsid w:val="000B4E7C"/>
    <w:rsid w:val="000C7DDE"/>
    <w:rsid w:val="000D3D54"/>
    <w:rsid w:val="000E0E0D"/>
    <w:rsid w:val="000E362E"/>
    <w:rsid w:val="000E64FA"/>
    <w:rsid w:val="000F0692"/>
    <w:rsid w:val="0010156E"/>
    <w:rsid w:val="0010178B"/>
    <w:rsid w:val="00110B5D"/>
    <w:rsid w:val="00115F6B"/>
    <w:rsid w:val="00122FB2"/>
    <w:rsid w:val="001249FE"/>
    <w:rsid w:val="00126D89"/>
    <w:rsid w:val="00150B0F"/>
    <w:rsid w:val="00153C3B"/>
    <w:rsid w:val="001645E7"/>
    <w:rsid w:val="00167A4F"/>
    <w:rsid w:val="0017206A"/>
    <w:rsid w:val="001847F7"/>
    <w:rsid w:val="001947C1"/>
    <w:rsid w:val="001A59E4"/>
    <w:rsid w:val="001B08EA"/>
    <w:rsid w:val="001B0B3A"/>
    <w:rsid w:val="001C0F12"/>
    <w:rsid w:val="001D4222"/>
    <w:rsid w:val="001D569E"/>
    <w:rsid w:val="001D765A"/>
    <w:rsid w:val="001E50F8"/>
    <w:rsid w:val="001F3E9B"/>
    <w:rsid w:val="001F547D"/>
    <w:rsid w:val="001F5BA5"/>
    <w:rsid w:val="00212730"/>
    <w:rsid w:val="0021709F"/>
    <w:rsid w:val="002228AC"/>
    <w:rsid w:val="00224B34"/>
    <w:rsid w:val="00225411"/>
    <w:rsid w:val="002354EB"/>
    <w:rsid w:val="00240671"/>
    <w:rsid w:val="002610D5"/>
    <w:rsid w:val="00270742"/>
    <w:rsid w:val="0027213E"/>
    <w:rsid w:val="002761EB"/>
    <w:rsid w:val="002833A1"/>
    <w:rsid w:val="002916FF"/>
    <w:rsid w:val="00295941"/>
    <w:rsid w:val="002A660C"/>
    <w:rsid w:val="002B19C1"/>
    <w:rsid w:val="002D22F0"/>
    <w:rsid w:val="002D5B99"/>
    <w:rsid w:val="002E0B4E"/>
    <w:rsid w:val="002E0FD1"/>
    <w:rsid w:val="002E2982"/>
    <w:rsid w:val="002E314D"/>
    <w:rsid w:val="002F0576"/>
    <w:rsid w:val="002F05CF"/>
    <w:rsid w:val="002F0730"/>
    <w:rsid w:val="002F597F"/>
    <w:rsid w:val="002F7BFD"/>
    <w:rsid w:val="003016A7"/>
    <w:rsid w:val="00303081"/>
    <w:rsid w:val="0030674A"/>
    <w:rsid w:val="00315AE2"/>
    <w:rsid w:val="00316C5A"/>
    <w:rsid w:val="00324EE5"/>
    <w:rsid w:val="003421F2"/>
    <w:rsid w:val="00342734"/>
    <w:rsid w:val="00350E62"/>
    <w:rsid w:val="003518D0"/>
    <w:rsid w:val="00355151"/>
    <w:rsid w:val="003568EF"/>
    <w:rsid w:val="0036204C"/>
    <w:rsid w:val="00367479"/>
    <w:rsid w:val="00370583"/>
    <w:rsid w:val="0037309F"/>
    <w:rsid w:val="0037323F"/>
    <w:rsid w:val="003767B4"/>
    <w:rsid w:val="00392DE9"/>
    <w:rsid w:val="00396B0E"/>
    <w:rsid w:val="003970C5"/>
    <w:rsid w:val="003A252D"/>
    <w:rsid w:val="003B075D"/>
    <w:rsid w:val="003B32C0"/>
    <w:rsid w:val="003B54F6"/>
    <w:rsid w:val="003C5001"/>
    <w:rsid w:val="003C5CFA"/>
    <w:rsid w:val="003C649E"/>
    <w:rsid w:val="003C6AF6"/>
    <w:rsid w:val="003C7590"/>
    <w:rsid w:val="003C7883"/>
    <w:rsid w:val="003D2E2B"/>
    <w:rsid w:val="003D4A9F"/>
    <w:rsid w:val="003E3380"/>
    <w:rsid w:val="004026FC"/>
    <w:rsid w:val="0040398E"/>
    <w:rsid w:val="00415CE0"/>
    <w:rsid w:val="00416647"/>
    <w:rsid w:val="00417BB4"/>
    <w:rsid w:val="00421BB4"/>
    <w:rsid w:val="00422F8B"/>
    <w:rsid w:val="00431D5D"/>
    <w:rsid w:val="00433E15"/>
    <w:rsid w:val="00445CD6"/>
    <w:rsid w:val="00447588"/>
    <w:rsid w:val="00447C4C"/>
    <w:rsid w:val="00450580"/>
    <w:rsid w:val="0045570B"/>
    <w:rsid w:val="0047038E"/>
    <w:rsid w:val="0047041C"/>
    <w:rsid w:val="004725EE"/>
    <w:rsid w:val="0047517E"/>
    <w:rsid w:val="00477CBE"/>
    <w:rsid w:val="004818DA"/>
    <w:rsid w:val="004846AB"/>
    <w:rsid w:val="00492B07"/>
    <w:rsid w:val="004962C8"/>
    <w:rsid w:val="004A4458"/>
    <w:rsid w:val="004A5FA2"/>
    <w:rsid w:val="004A7639"/>
    <w:rsid w:val="004B6A48"/>
    <w:rsid w:val="004B7F3D"/>
    <w:rsid w:val="004D3EE0"/>
    <w:rsid w:val="004E54AD"/>
    <w:rsid w:val="004E79D1"/>
    <w:rsid w:val="004F3B7A"/>
    <w:rsid w:val="004F6E87"/>
    <w:rsid w:val="00500021"/>
    <w:rsid w:val="0051238A"/>
    <w:rsid w:val="00533382"/>
    <w:rsid w:val="00536B5D"/>
    <w:rsid w:val="00537EC8"/>
    <w:rsid w:val="00544205"/>
    <w:rsid w:val="0054776A"/>
    <w:rsid w:val="00575C5F"/>
    <w:rsid w:val="005817B0"/>
    <w:rsid w:val="00584D4A"/>
    <w:rsid w:val="00586160"/>
    <w:rsid w:val="0058637E"/>
    <w:rsid w:val="00590215"/>
    <w:rsid w:val="005934EF"/>
    <w:rsid w:val="005A12F2"/>
    <w:rsid w:val="005A3F28"/>
    <w:rsid w:val="005B1EFA"/>
    <w:rsid w:val="005B38B8"/>
    <w:rsid w:val="005C00DE"/>
    <w:rsid w:val="005C1200"/>
    <w:rsid w:val="005C2D1F"/>
    <w:rsid w:val="005C786C"/>
    <w:rsid w:val="005D233C"/>
    <w:rsid w:val="005E43A1"/>
    <w:rsid w:val="005E6AB0"/>
    <w:rsid w:val="005F338E"/>
    <w:rsid w:val="005F49C7"/>
    <w:rsid w:val="005F63F5"/>
    <w:rsid w:val="0060640B"/>
    <w:rsid w:val="00613AA0"/>
    <w:rsid w:val="00623885"/>
    <w:rsid w:val="00623A45"/>
    <w:rsid w:val="00624A0F"/>
    <w:rsid w:val="0063691C"/>
    <w:rsid w:val="00644E8F"/>
    <w:rsid w:val="00645067"/>
    <w:rsid w:val="00647B01"/>
    <w:rsid w:val="00660997"/>
    <w:rsid w:val="00660FA4"/>
    <w:rsid w:val="006677E8"/>
    <w:rsid w:val="00673A0C"/>
    <w:rsid w:val="00677AC6"/>
    <w:rsid w:val="00690EC2"/>
    <w:rsid w:val="00697601"/>
    <w:rsid w:val="006A2FCD"/>
    <w:rsid w:val="006B1F42"/>
    <w:rsid w:val="006B49D3"/>
    <w:rsid w:val="006C4EA1"/>
    <w:rsid w:val="006C5A69"/>
    <w:rsid w:val="006D04B7"/>
    <w:rsid w:val="006E13B6"/>
    <w:rsid w:val="006F7064"/>
    <w:rsid w:val="00702AD5"/>
    <w:rsid w:val="0070377D"/>
    <w:rsid w:val="00706224"/>
    <w:rsid w:val="00707387"/>
    <w:rsid w:val="00710B76"/>
    <w:rsid w:val="00735043"/>
    <w:rsid w:val="00743D4B"/>
    <w:rsid w:val="00744CA0"/>
    <w:rsid w:val="00751758"/>
    <w:rsid w:val="007529D2"/>
    <w:rsid w:val="007723F6"/>
    <w:rsid w:val="00784691"/>
    <w:rsid w:val="0078598C"/>
    <w:rsid w:val="00786F43"/>
    <w:rsid w:val="00794C3D"/>
    <w:rsid w:val="00795742"/>
    <w:rsid w:val="0079654E"/>
    <w:rsid w:val="007B33C2"/>
    <w:rsid w:val="007B3A54"/>
    <w:rsid w:val="007C3221"/>
    <w:rsid w:val="007D434C"/>
    <w:rsid w:val="007F2BC9"/>
    <w:rsid w:val="00800CCB"/>
    <w:rsid w:val="00805381"/>
    <w:rsid w:val="00815DE6"/>
    <w:rsid w:val="0082334C"/>
    <w:rsid w:val="0082435D"/>
    <w:rsid w:val="008438AB"/>
    <w:rsid w:val="00845075"/>
    <w:rsid w:val="008554AB"/>
    <w:rsid w:val="00861FD7"/>
    <w:rsid w:val="008710E9"/>
    <w:rsid w:val="00880099"/>
    <w:rsid w:val="00890A27"/>
    <w:rsid w:val="00897F50"/>
    <w:rsid w:val="008A0DA8"/>
    <w:rsid w:val="008A1287"/>
    <w:rsid w:val="008A44BD"/>
    <w:rsid w:val="008A5C90"/>
    <w:rsid w:val="008C3679"/>
    <w:rsid w:val="008C3EE0"/>
    <w:rsid w:val="008C5AFA"/>
    <w:rsid w:val="008C7554"/>
    <w:rsid w:val="008D6E3D"/>
    <w:rsid w:val="008E02EB"/>
    <w:rsid w:val="008E2C0E"/>
    <w:rsid w:val="008E5B6C"/>
    <w:rsid w:val="00904CC9"/>
    <w:rsid w:val="00910A26"/>
    <w:rsid w:val="00920FE0"/>
    <w:rsid w:val="00927CE5"/>
    <w:rsid w:val="00932B8E"/>
    <w:rsid w:val="00932F0D"/>
    <w:rsid w:val="00934627"/>
    <w:rsid w:val="00936CBA"/>
    <w:rsid w:val="00937026"/>
    <w:rsid w:val="00943453"/>
    <w:rsid w:val="0094366F"/>
    <w:rsid w:val="00947460"/>
    <w:rsid w:val="0095582B"/>
    <w:rsid w:val="00956916"/>
    <w:rsid w:val="00961A9C"/>
    <w:rsid w:val="00962104"/>
    <w:rsid w:val="00962957"/>
    <w:rsid w:val="00964FB8"/>
    <w:rsid w:val="00965515"/>
    <w:rsid w:val="009711A6"/>
    <w:rsid w:val="009746C6"/>
    <w:rsid w:val="009759C5"/>
    <w:rsid w:val="00987991"/>
    <w:rsid w:val="00994BFF"/>
    <w:rsid w:val="00995A87"/>
    <w:rsid w:val="009A2E38"/>
    <w:rsid w:val="009A74D7"/>
    <w:rsid w:val="009B38D3"/>
    <w:rsid w:val="009B5740"/>
    <w:rsid w:val="009B66F3"/>
    <w:rsid w:val="009C7C6C"/>
    <w:rsid w:val="009D3992"/>
    <w:rsid w:val="009E0876"/>
    <w:rsid w:val="009E39B2"/>
    <w:rsid w:val="009E3B5B"/>
    <w:rsid w:val="009E4FE5"/>
    <w:rsid w:val="009F452D"/>
    <w:rsid w:val="00A01D6F"/>
    <w:rsid w:val="00A064E1"/>
    <w:rsid w:val="00A073D8"/>
    <w:rsid w:val="00A25008"/>
    <w:rsid w:val="00A251D2"/>
    <w:rsid w:val="00A27114"/>
    <w:rsid w:val="00A3150B"/>
    <w:rsid w:val="00A3173C"/>
    <w:rsid w:val="00A33F63"/>
    <w:rsid w:val="00A44E48"/>
    <w:rsid w:val="00A530D7"/>
    <w:rsid w:val="00A539EA"/>
    <w:rsid w:val="00A53B8C"/>
    <w:rsid w:val="00A54B7A"/>
    <w:rsid w:val="00A56FE6"/>
    <w:rsid w:val="00A603F6"/>
    <w:rsid w:val="00A64786"/>
    <w:rsid w:val="00A8097D"/>
    <w:rsid w:val="00A97B6F"/>
    <w:rsid w:val="00AA1184"/>
    <w:rsid w:val="00AA23A4"/>
    <w:rsid w:val="00AB157D"/>
    <w:rsid w:val="00AC10E8"/>
    <w:rsid w:val="00AC3D4B"/>
    <w:rsid w:val="00AC4B03"/>
    <w:rsid w:val="00AD6BAE"/>
    <w:rsid w:val="00AE6820"/>
    <w:rsid w:val="00AF23F5"/>
    <w:rsid w:val="00AF62B5"/>
    <w:rsid w:val="00AF7AD9"/>
    <w:rsid w:val="00B11782"/>
    <w:rsid w:val="00B12C1A"/>
    <w:rsid w:val="00B223B0"/>
    <w:rsid w:val="00B23370"/>
    <w:rsid w:val="00B25FF7"/>
    <w:rsid w:val="00B32F05"/>
    <w:rsid w:val="00B3425E"/>
    <w:rsid w:val="00B36124"/>
    <w:rsid w:val="00B40DA9"/>
    <w:rsid w:val="00B41946"/>
    <w:rsid w:val="00B45D37"/>
    <w:rsid w:val="00B46371"/>
    <w:rsid w:val="00B5124A"/>
    <w:rsid w:val="00B514B0"/>
    <w:rsid w:val="00B53089"/>
    <w:rsid w:val="00B56D72"/>
    <w:rsid w:val="00B57E9B"/>
    <w:rsid w:val="00B6112A"/>
    <w:rsid w:val="00B61CB2"/>
    <w:rsid w:val="00B62979"/>
    <w:rsid w:val="00B638B2"/>
    <w:rsid w:val="00B640B0"/>
    <w:rsid w:val="00B67EAA"/>
    <w:rsid w:val="00B72622"/>
    <w:rsid w:val="00B7340D"/>
    <w:rsid w:val="00B76DFB"/>
    <w:rsid w:val="00B77BCB"/>
    <w:rsid w:val="00B8063B"/>
    <w:rsid w:val="00B864AA"/>
    <w:rsid w:val="00B8693C"/>
    <w:rsid w:val="00B923C8"/>
    <w:rsid w:val="00B93A17"/>
    <w:rsid w:val="00BA02D9"/>
    <w:rsid w:val="00BA1E99"/>
    <w:rsid w:val="00BA523F"/>
    <w:rsid w:val="00BB18F8"/>
    <w:rsid w:val="00BC0AB9"/>
    <w:rsid w:val="00BC315A"/>
    <w:rsid w:val="00BC608E"/>
    <w:rsid w:val="00BD5A96"/>
    <w:rsid w:val="00BF6B12"/>
    <w:rsid w:val="00C00548"/>
    <w:rsid w:val="00C0116C"/>
    <w:rsid w:val="00C05133"/>
    <w:rsid w:val="00C05921"/>
    <w:rsid w:val="00C2145C"/>
    <w:rsid w:val="00C22909"/>
    <w:rsid w:val="00C40E9D"/>
    <w:rsid w:val="00C41521"/>
    <w:rsid w:val="00C432F6"/>
    <w:rsid w:val="00C43FB2"/>
    <w:rsid w:val="00C44E9D"/>
    <w:rsid w:val="00C45F8B"/>
    <w:rsid w:val="00C51BEB"/>
    <w:rsid w:val="00C521B1"/>
    <w:rsid w:val="00C56546"/>
    <w:rsid w:val="00C761E0"/>
    <w:rsid w:val="00C80A0C"/>
    <w:rsid w:val="00C848CF"/>
    <w:rsid w:val="00C91618"/>
    <w:rsid w:val="00CA7B89"/>
    <w:rsid w:val="00CB2AA4"/>
    <w:rsid w:val="00CB3812"/>
    <w:rsid w:val="00CB5E68"/>
    <w:rsid w:val="00CB7F9C"/>
    <w:rsid w:val="00CC09B9"/>
    <w:rsid w:val="00CE0554"/>
    <w:rsid w:val="00CE1DEE"/>
    <w:rsid w:val="00CF72C0"/>
    <w:rsid w:val="00D017C0"/>
    <w:rsid w:val="00D01B53"/>
    <w:rsid w:val="00D03017"/>
    <w:rsid w:val="00D05C5C"/>
    <w:rsid w:val="00D06D5C"/>
    <w:rsid w:val="00D139C2"/>
    <w:rsid w:val="00D15ADF"/>
    <w:rsid w:val="00D16207"/>
    <w:rsid w:val="00D176F0"/>
    <w:rsid w:val="00D2081D"/>
    <w:rsid w:val="00D2473A"/>
    <w:rsid w:val="00D3212A"/>
    <w:rsid w:val="00D4031B"/>
    <w:rsid w:val="00D53960"/>
    <w:rsid w:val="00D60F87"/>
    <w:rsid w:val="00D62493"/>
    <w:rsid w:val="00D7176C"/>
    <w:rsid w:val="00D73895"/>
    <w:rsid w:val="00D80F21"/>
    <w:rsid w:val="00D87929"/>
    <w:rsid w:val="00DA063C"/>
    <w:rsid w:val="00DA1C29"/>
    <w:rsid w:val="00DB02AA"/>
    <w:rsid w:val="00DB067A"/>
    <w:rsid w:val="00DB2FEC"/>
    <w:rsid w:val="00DB5EB7"/>
    <w:rsid w:val="00DC0810"/>
    <w:rsid w:val="00DC266C"/>
    <w:rsid w:val="00DC2A42"/>
    <w:rsid w:val="00DC61A2"/>
    <w:rsid w:val="00DD0B17"/>
    <w:rsid w:val="00DD4DC0"/>
    <w:rsid w:val="00DD7253"/>
    <w:rsid w:val="00DE58D1"/>
    <w:rsid w:val="00DE59A5"/>
    <w:rsid w:val="00DF073D"/>
    <w:rsid w:val="00DF3EB8"/>
    <w:rsid w:val="00E018A0"/>
    <w:rsid w:val="00E01BBC"/>
    <w:rsid w:val="00E02245"/>
    <w:rsid w:val="00E02EEB"/>
    <w:rsid w:val="00E05614"/>
    <w:rsid w:val="00E16477"/>
    <w:rsid w:val="00E216DA"/>
    <w:rsid w:val="00E2575B"/>
    <w:rsid w:val="00E30170"/>
    <w:rsid w:val="00E31F0C"/>
    <w:rsid w:val="00E340C6"/>
    <w:rsid w:val="00E415FF"/>
    <w:rsid w:val="00E47DF6"/>
    <w:rsid w:val="00E64A49"/>
    <w:rsid w:val="00E66A4A"/>
    <w:rsid w:val="00E71BB0"/>
    <w:rsid w:val="00EA1B17"/>
    <w:rsid w:val="00EA6B8B"/>
    <w:rsid w:val="00EB5D80"/>
    <w:rsid w:val="00EC5F5B"/>
    <w:rsid w:val="00ED0658"/>
    <w:rsid w:val="00ED6EE0"/>
    <w:rsid w:val="00F03D9A"/>
    <w:rsid w:val="00F0422E"/>
    <w:rsid w:val="00F07865"/>
    <w:rsid w:val="00F133FB"/>
    <w:rsid w:val="00F14831"/>
    <w:rsid w:val="00F178B3"/>
    <w:rsid w:val="00F26E25"/>
    <w:rsid w:val="00F271C9"/>
    <w:rsid w:val="00F3003D"/>
    <w:rsid w:val="00F32CC1"/>
    <w:rsid w:val="00F36879"/>
    <w:rsid w:val="00F37866"/>
    <w:rsid w:val="00F45021"/>
    <w:rsid w:val="00F454CB"/>
    <w:rsid w:val="00F53149"/>
    <w:rsid w:val="00F53DF1"/>
    <w:rsid w:val="00F54145"/>
    <w:rsid w:val="00F55318"/>
    <w:rsid w:val="00F602E4"/>
    <w:rsid w:val="00F7078B"/>
    <w:rsid w:val="00F707E0"/>
    <w:rsid w:val="00F71203"/>
    <w:rsid w:val="00F732E5"/>
    <w:rsid w:val="00F756C3"/>
    <w:rsid w:val="00F8376F"/>
    <w:rsid w:val="00F84BB6"/>
    <w:rsid w:val="00F86E9E"/>
    <w:rsid w:val="00F9326B"/>
    <w:rsid w:val="00F95ABB"/>
    <w:rsid w:val="00F96610"/>
    <w:rsid w:val="00FA2DAD"/>
    <w:rsid w:val="00FA5B8A"/>
    <w:rsid w:val="00FA6E16"/>
    <w:rsid w:val="00FC007A"/>
    <w:rsid w:val="00FD1C9C"/>
    <w:rsid w:val="00FD2439"/>
    <w:rsid w:val="00FE75DD"/>
    <w:rsid w:val="00FF503F"/>
    <w:rsid w:val="00FF7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601"/>
    <w:pPr>
      <w:jc w:val="both"/>
    </w:pPr>
    <w:rPr>
      <w:rFonts w:eastAsia="Times New Roman" w:cs="Times New Roman"/>
      <w:snapToGrid w:val="0"/>
      <w:szCs w:val="20"/>
    </w:rPr>
  </w:style>
  <w:style w:type="paragraph" w:styleId="Heading1">
    <w:name w:val="heading 1"/>
    <w:basedOn w:val="Normal"/>
    <w:next w:val="Normal"/>
    <w:link w:val="Heading1Char"/>
    <w:qFormat/>
    <w:rsid w:val="00697601"/>
    <w:pPr>
      <w:keepNext/>
      <w:keepLines/>
      <w:widowControl w:val="0"/>
      <w:jc w:val="center"/>
      <w:outlineLvl w:val="0"/>
    </w:pPr>
    <w:rPr>
      <w:b/>
      <w:kern w:val="28"/>
    </w:rPr>
  </w:style>
  <w:style w:type="paragraph" w:styleId="Heading2">
    <w:name w:val="heading 2"/>
    <w:basedOn w:val="Normal"/>
    <w:next w:val="Normal"/>
    <w:link w:val="Heading2Char"/>
    <w:qFormat/>
    <w:rsid w:val="0069760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601"/>
    <w:rPr>
      <w:rFonts w:eastAsia="Times New Roman" w:cs="Times New Roman"/>
      <w:b/>
      <w:snapToGrid w:val="0"/>
      <w:kern w:val="28"/>
      <w:szCs w:val="20"/>
    </w:rPr>
  </w:style>
  <w:style w:type="character" w:customStyle="1" w:styleId="Heading2Char">
    <w:name w:val="Heading 2 Char"/>
    <w:basedOn w:val="DefaultParagraphFont"/>
    <w:link w:val="Heading2"/>
    <w:rsid w:val="00697601"/>
    <w:rPr>
      <w:rFonts w:eastAsia="Times New Roman" w:cs="Times New Roman"/>
      <w:b/>
      <w:snapToGrid w:val="0"/>
      <w:szCs w:val="20"/>
    </w:rPr>
  </w:style>
  <w:style w:type="character" w:styleId="Hyperlink">
    <w:name w:val="Hyperlink"/>
    <w:basedOn w:val="DefaultParagraphFont"/>
    <w:semiHidden/>
    <w:rsid w:val="00697601"/>
    <w:rPr>
      <w:color w:val="0000FF"/>
      <w:u w:val="single"/>
    </w:rPr>
  </w:style>
  <w:style w:type="paragraph" w:styleId="ListBullet">
    <w:name w:val="List Bullet"/>
    <w:basedOn w:val="Normal"/>
    <w:next w:val="Normal"/>
    <w:autoRedefine/>
    <w:semiHidden/>
    <w:rsid w:val="00697601"/>
    <w:pPr>
      <w:numPr>
        <w:numId w:val="8"/>
      </w:numPr>
    </w:pPr>
  </w:style>
  <w:style w:type="character" w:styleId="CommentReference">
    <w:name w:val="annotation reference"/>
    <w:basedOn w:val="DefaultParagraphFont"/>
    <w:uiPriority w:val="99"/>
    <w:semiHidden/>
    <w:unhideWhenUsed/>
    <w:rsid w:val="005E43A1"/>
    <w:rPr>
      <w:sz w:val="16"/>
      <w:szCs w:val="16"/>
    </w:rPr>
  </w:style>
  <w:style w:type="paragraph" w:styleId="CommentText">
    <w:name w:val="annotation text"/>
    <w:basedOn w:val="Normal"/>
    <w:link w:val="CommentTextChar"/>
    <w:uiPriority w:val="99"/>
    <w:semiHidden/>
    <w:unhideWhenUsed/>
    <w:rsid w:val="005E43A1"/>
    <w:rPr>
      <w:sz w:val="20"/>
    </w:rPr>
  </w:style>
  <w:style w:type="character" w:customStyle="1" w:styleId="CommentTextChar">
    <w:name w:val="Comment Text Char"/>
    <w:basedOn w:val="DefaultParagraphFont"/>
    <w:link w:val="CommentText"/>
    <w:uiPriority w:val="99"/>
    <w:semiHidden/>
    <w:rsid w:val="005E43A1"/>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5E43A1"/>
    <w:rPr>
      <w:b/>
      <w:bCs/>
    </w:rPr>
  </w:style>
  <w:style w:type="character" w:customStyle="1" w:styleId="CommentSubjectChar">
    <w:name w:val="Comment Subject Char"/>
    <w:basedOn w:val="CommentTextChar"/>
    <w:link w:val="CommentSubject"/>
    <w:uiPriority w:val="99"/>
    <w:semiHidden/>
    <w:rsid w:val="005E43A1"/>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5E43A1"/>
    <w:rPr>
      <w:rFonts w:ascii="Tahoma" w:hAnsi="Tahoma" w:cs="Tahoma"/>
      <w:sz w:val="16"/>
      <w:szCs w:val="16"/>
    </w:rPr>
  </w:style>
  <w:style w:type="character" w:customStyle="1" w:styleId="BalloonTextChar">
    <w:name w:val="Balloon Text Char"/>
    <w:basedOn w:val="DefaultParagraphFont"/>
    <w:link w:val="BalloonText"/>
    <w:uiPriority w:val="99"/>
    <w:semiHidden/>
    <w:rsid w:val="005E43A1"/>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5A3F28"/>
    <w:rPr>
      <w:sz w:val="20"/>
    </w:rPr>
  </w:style>
  <w:style w:type="character" w:customStyle="1" w:styleId="FootnoteTextChar">
    <w:name w:val="Footnote Text Char"/>
    <w:basedOn w:val="DefaultParagraphFont"/>
    <w:link w:val="FootnoteText"/>
    <w:uiPriority w:val="99"/>
    <w:semiHidden/>
    <w:rsid w:val="005A3F2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5A3F28"/>
    <w:rPr>
      <w:vertAlign w:val="superscript"/>
    </w:rPr>
  </w:style>
  <w:style w:type="character" w:customStyle="1" w:styleId="p1">
    <w:name w:val="p1"/>
    <w:basedOn w:val="DefaultParagraphFont"/>
    <w:rsid w:val="00DE58D1"/>
    <w:rPr>
      <w:vanish w:val="0"/>
      <w:webHidden w:val="0"/>
      <w:specVanish w:val="0"/>
    </w:rPr>
  </w:style>
  <w:style w:type="paragraph" w:styleId="ListParagraph">
    <w:name w:val="List Paragraph"/>
    <w:basedOn w:val="Normal"/>
    <w:uiPriority w:val="34"/>
    <w:qFormat/>
    <w:rsid w:val="008C7554"/>
    <w:pPr>
      <w:ind w:left="720"/>
      <w:contextualSpacing/>
    </w:pPr>
  </w:style>
  <w:style w:type="character" w:styleId="FollowedHyperlink">
    <w:name w:val="FollowedHyperlink"/>
    <w:basedOn w:val="DefaultParagraphFont"/>
    <w:uiPriority w:val="99"/>
    <w:semiHidden/>
    <w:unhideWhenUsed/>
    <w:rsid w:val="00B361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601"/>
    <w:pPr>
      <w:jc w:val="both"/>
    </w:pPr>
    <w:rPr>
      <w:rFonts w:eastAsia="Times New Roman" w:cs="Times New Roman"/>
      <w:snapToGrid w:val="0"/>
      <w:szCs w:val="20"/>
    </w:rPr>
  </w:style>
  <w:style w:type="paragraph" w:styleId="Heading1">
    <w:name w:val="heading 1"/>
    <w:basedOn w:val="Normal"/>
    <w:next w:val="Normal"/>
    <w:link w:val="Heading1Char"/>
    <w:qFormat/>
    <w:rsid w:val="00697601"/>
    <w:pPr>
      <w:keepNext/>
      <w:keepLines/>
      <w:widowControl w:val="0"/>
      <w:jc w:val="center"/>
      <w:outlineLvl w:val="0"/>
    </w:pPr>
    <w:rPr>
      <w:b/>
      <w:kern w:val="28"/>
    </w:rPr>
  </w:style>
  <w:style w:type="paragraph" w:styleId="Heading2">
    <w:name w:val="heading 2"/>
    <w:basedOn w:val="Normal"/>
    <w:next w:val="Normal"/>
    <w:link w:val="Heading2Char"/>
    <w:qFormat/>
    <w:rsid w:val="0069760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601"/>
    <w:rPr>
      <w:rFonts w:eastAsia="Times New Roman" w:cs="Times New Roman"/>
      <w:b/>
      <w:snapToGrid w:val="0"/>
      <w:kern w:val="28"/>
      <w:szCs w:val="20"/>
    </w:rPr>
  </w:style>
  <w:style w:type="character" w:customStyle="1" w:styleId="Heading2Char">
    <w:name w:val="Heading 2 Char"/>
    <w:basedOn w:val="DefaultParagraphFont"/>
    <w:link w:val="Heading2"/>
    <w:rsid w:val="00697601"/>
    <w:rPr>
      <w:rFonts w:eastAsia="Times New Roman" w:cs="Times New Roman"/>
      <w:b/>
      <w:snapToGrid w:val="0"/>
      <w:szCs w:val="20"/>
    </w:rPr>
  </w:style>
  <w:style w:type="character" w:styleId="Hyperlink">
    <w:name w:val="Hyperlink"/>
    <w:basedOn w:val="DefaultParagraphFont"/>
    <w:semiHidden/>
    <w:rsid w:val="00697601"/>
    <w:rPr>
      <w:color w:val="0000FF"/>
      <w:u w:val="single"/>
    </w:rPr>
  </w:style>
  <w:style w:type="paragraph" w:styleId="ListBullet">
    <w:name w:val="List Bullet"/>
    <w:basedOn w:val="Normal"/>
    <w:next w:val="Normal"/>
    <w:autoRedefine/>
    <w:semiHidden/>
    <w:rsid w:val="00697601"/>
    <w:pPr>
      <w:numPr>
        <w:numId w:val="8"/>
      </w:numPr>
    </w:pPr>
  </w:style>
  <w:style w:type="character" w:styleId="CommentReference">
    <w:name w:val="annotation reference"/>
    <w:basedOn w:val="DefaultParagraphFont"/>
    <w:uiPriority w:val="99"/>
    <w:semiHidden/>
    <w:unhideWhenUsed/>
    <w:rsid w:val="005E43A1"/>
    <w:rPr>
      <w:sz w:val="16"/>
      <w:szCs w:val="16"/>
    </w:rPr>
  </w:style>
  <w:style w:type="paragraph" w:styleId="CommentText">
    <w:name w:val="annotation text"/>
    <w:basedOn w:val="Normal"/>
    <w:link w:val="CommentTextChar"/>
    <w:uiPriority w:val="99"/>
    <w:semiHidden/>
    <w:unhideWhenUsed/>
    <w:rsid w:val="005E43A1"/>
    <w:rPr>
      <w:sz w:val="20"/>
    </w:rPr>
  </w:style>
  <w:style w:type="character" w:customStyle="1" w:styleId="CommentTextChar">
    <w:name w:val="Comment Text Char"/>
    <w:basedOn w:val="DefaultParagraphFont"/>
    <w:link w:val="CommentText"/>
    <w:uiPriority w:val="99"/>
    <w:semiHidden/>
    <w:rsid w:val="005E43A1"/>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5E43A1"/>
    <w:rPr>
      <w:b/>
      <w:bCs/>
    </w:rPr>
  </w:style>
  <w:style w:type="character" w:customStyle="1" w:styleId="CommentSubjectChar">
    <w:name w:val="Comment Subject Char"/>
    <w:basedOn w:val="CommentTextChar"/>
    <w:link w:val="CommentSubject"/>
    <w:uiPriority w:val="99"/>
    <w:semiHidden/>
    <w:rsid w:val="005E43A1"/>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5E43A1"/>
    <w:rPr>
      <w:rFonts w:ascii="Tahoma" w:hAnsi="Tahoma" w:cs="Tahoma"/>
      <w:sz w:val="16"/>
      <w:szCs w:val="16"/>
    </w:rPr>
  </w:style>
  <w:style w:type="character" w:customStyle="1" w:styleId="BalloonTextChar">
    <w:name w:val="Balloon Text Char"/>
    <w:basedOn w:val="DefaultParagraphFont"/>
    <w:link w:val="BalloonText"/>
    <w:uiPriority w:val="99"/>
    <w:semiHidden/>
    <w:rsid w:val="005E43A1"/>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5A3F28"/>
    <w:rPr>
      <w:sz w:val="20"/>
    </w:rPr>
  </w:style>
  <w:style w:type="character" w:customStyle="1" w:styleId="FootnoteTextChar">
    <w:name w:val="Footnote Text Char"/>
    <w:basedOn w:val="DefaultParagraphFont"/>
    <w:link w:val="FootnoteText"/>
    <w:uiPriority w:val="99"/>
    <w:semiHidden/>
    <w:rsid w:val="005A3F2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5A3F28"/>
    <w:rPr>
      <w:vertAlign w:val="superscript"/>
    </w:rPr>
  </w:style>
  <w:style w:type="character" w:customStyle="1" w:styleId="p1">
    <w:name w:val="p1"/>
    <w:basedOn w:val="DefaultParagraphFont"/>
    <w:rsid w:val="00DE58D1"/>
    <w:rPr>
      <w:vanish w:val="0"/>
      <w:webHidden w:val="0"/>
      <w:specVanish w:val="0"/>
    </w:rPr>
  </w:style>
  <w:style w:type="paragraph" w:styleId="ListParagraph">
    <w:name w:val="List Paragraph"/>
    <w:basedOn w:val="Normal"/>
    <w:uiPriority w:val="34"/>
    <w:qFormat/>
    <w:rsid w:val="008C7554"/>
    <w:pPr>
      <w:ind w:left="720"/>
      <w:contextualSpacing/>
    </w:pPr>
  </w:style>
  <w:style w:type="character" w:styleId="FollowedHyperlink">
    <w:name w:val="FollowedHyperlink"/>
    <w:basedOn w:val="DefaultParagraphFont"/>
    <w:uiPriority w:val="99"/>
    <w:semiHidden/>
    <w:unhideWhenUsed/>
    <w:rsid w:val="00B361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h.wa.gov/Portals/1/Documents/2300/ElectronicPresc.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eadiversion.usdoj.gov/21cfr_reports/theft/index.html"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6AA03C-FEFD-4E51-8B9F-7CBF8CD33918}">
  <ds:schemaRefs>
    <ds:schemaRef ds:uri="http://schemas.openxmlformats.org/officeDocument/2006/bibliography"/>
  </ds:schemaRefs>
</ds:datastoreItem>
</file>

<file path=customXml/itemProps2.xml><?xml version="1.0" encoding="utf-8"?>
<ds:datastoreItem xmlns:ds="http://schemas.openxmlformats.org/officeDocument/2006/customXml" ds:itemID="{A7A21C0B-19A3-42DE-94C2-16EDA6CB3DCB}"/>
</file>

<file path=customXml/itemProps3.xml><?xml version="1.0" encoding="utf-8"?>
<ds:datastoreItem xmlns:ds="http://schemas.openxmlformats.org/officeDocument/2006/customXml" ds:itemID="{92B7A5B0-CDB2-4179-912D-3CBB3146E3E6}"/>
</file>

<file path=customXml/itemProps4.xml><?xml version="1.0" encoding="utf-8"?>
<ds:datastoreItem xmlns:ds="http://schemas.openxmlformats.org/officeDocument/2006/customXml" ds:itemID="{90221686-7BD6-4639-BDBB-3A8AB3266D3D}"/>
</file>

<file path=docProps/app.xml><?xml version="1.0" encoding="utf-8"?>
<Properties xmlns="http://schemas.openxmlformats.org/officeDocument/2006/extended-properties" xmlns:vt="http://schemas.openxmlformats.org/officeDocument/2006/docPropsVTypes">
  <Template>Normal.dotm</Template>
  <TotalTime>139</TotalTime>
  <Pages>8</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2012-11-21T16:08:00Z</dcterms:created>
  <dcterms:modified xsi:type="dcterms:W3CDTF">2012-11-21T18:09:00Z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