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E1" w:rsidRDefault="000661E1" w:rsidP="000661E1">
      <w:pPr>
        <w:tabs>
          <w:tab w:val="left" w:pos="-720"/>
        </w:tabs>
        <w:suppressAutoHyphens/>
        <w:jc w:val="center"/>
        <w:rPr>
          <w:b/>
        </w:rPr>
      </w:pPr>
      <w:bookmarkStart w:id="0" w:name="_Toc161565666"/>
      <w:r>
        <w:rPr>
          <w:b/>
        </w:rPr>
        <w:t>DEATH CERTIFICATES</w:t>
      </w:r>
      <w:bookmarkEnd w:id="0"/>
    </w:p>
    <w:p w:rsidR="000661E1" w:rsidRDefault="000661E1" w:rsidP="000661E1">
      <w:pPr>
        <w:keepNext/>
        <w:keepLines/>
        <w:widowControl w:val="0"/>
      </w:pPr>
    </w:p>
    <w:p w:rsidR="000661E1" w:rsidRDefault="000661E1" w:rsidP="000661E1">
      <w:pPr>
        <w:keepNext/>
        <w:keepLines/>
        <w:widowControl w:val="0"/>
      </w:pPr>
    </w:p>
    <w:p w:rsidR="000661E1" w:rsidRDefault="004B586A" w:rsidP="000661E1">
      <w:pPr>
        <w:pStyle w:val="Heading2"/>
      </w:pPr>
      <w:r>
        <w:t>When</w:t>
      </w:r>
      <w:r w:rsidR="000661E1">
        <w:t xml:space="preserve"> </w:t>
      </w:r>
      <w:proofErr w:type="gramStart"/>
      <w:r w:rsidR="000661E1">
        <w:t xml:space="preserve">is </w:t>
      </w:r>
      <w:r>
        <w:t>an</w:t>
      </w:r>
      <w:r w:rsidR="000661E1">
        <w:t xml:space="preserve"> </w:t>
      </w:r>
      <w:r>
        <w:t>individual</w:t>
      </w:r>
      <w:proofErr w:type="gramEnd"/>
      <w:r>
        <w:t xml:space="preserve"> </w:t>
      </w:r>
      <w:r w:rsidR="000661E1">
        <w:t>legal</w:t>
      </w:r>
      <w:r>
        <w:t>ly</w:t>
      </w:r>
      <w:r w:rsidR="000661E1">
        <w:t xml:space="preserve"> </w:t>
      </w:r>
      <w:r>
        <w:t>considered</w:t>
      </w:r>
      <w:r w:rsidR="000661E1">
        <w:t xml:space="preserve"> “dea</w:t>
      </w:r>
      <w:r>
        <w:t>d</w:t>
      </w:r>
      <w:r w:rsidR="000661E1">
        <w:t>”?</w:t>
      </w:r>
    </w:p>
    <w:p w:rsidR="000661E1" w:rsidRDefault="000661E1" w:rsidP="000661E1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0661E1" w:rsidRDefault="00F35D92" w:rsidP="000661E1">
      <w:pPr>
        <w:tabs>
          <w:tab w:val="left" w:pos="-720"/>
        </w:tabs>
        <w:suppressAutoHyphens/>
      </w:pPr>
      <w:r>
        <w:tab/>
      </w:r>
      <w:r w:rsidR="000661E1">
        <w:t xml:space="preserve">Under Washington law, an individual is “dead” when </w:t>
      </w:r>
      <w:r w:rsidR="00DA7E22">
        <w:t xml:space="preserve">it is determined according to accepted medical standards that </w:t>
      </w:r>
      <w:r w:rsidR="000661E1">
        <w:t xml:space="preserve">the individual has sustained either:  </w:t>
      </w:r>
    </w:p>
    <w:p w:rsidR="000661E1" w:rsidRDefault="000661E1" w:rsidP="000661E1">
      <w:pPr>
        <w:tabs>
          <w:tab w:val="left" w:pos="-720"/>
        </w:tabs>
        <w:suppressAutoHyphens/>
      </w:pPr>
    </w:p>
    <w:p w:rsidR="000661E1" w:rsidRDefault="000661E1" w:rsidP="000661E1">
      <w:pPr>
        <w:pStyle w:val="ListBullet"/>
      </w:pPr>
      <w:r>
        <w:t xml:space="preserve">Irreversible cessation of circulatory and respiratory functions; or </w:t>
      </w:r>
    </w:p>
    <w:p w:rsidR="000661E1" w:rsidRDefault="000661E1" w:rsidP="000661E1">
      <w:pPr>
        <w:tabs>
          <w:tab w:val="left" w:pos="-720"/>
        </w:tabs>
        <w:suppressAutoHyphens/>
      </w:pPr>
    </w:p>
    <w:p w:rsidR="000661E1" w:rsidRDefault="000661E1" w:rsidP="000661E1">
      <w:pPr>
        <w:pStyle w:val="ListBullet"/>
      </w:pPr>
      <w:r>
        <w:t>Irreversible cessation of all functions of the entire brain, including the brain stem.</w:t>
      </w:r>
      <w:r w:rsidR="00CC230C">
        <w:rPr>
          <w:rStyle w:val="FootnoteReference"/>
        </w:rPr>
        <w:footnoteReference w:id="1"/>
      </w:r>
    </w:p>
    <w:p w:rsidR="00F35D92" w:rsidRDefault="00F35D92" w:rsidP="000661E1">
      <w:pPr>
        <w:tabs>
          <w:tab w:val="left" w:pos="-720"/>
        </w:tabs>
        <w:suppressAutoHyphens/>
      </w:pPr>
    </w:p>
    <w:p w:rsidR="004B586A" w:rsidRDefault="00E0010B" w:rsidP="000661E1">
      <w:pPr>
        <w:tabs>
          <w:tab w:val="left" w:pos="-720"/>
        </w:tabs>
        <w:suppressAutoHyphens/>
        <w:rPr>
          <w:b/>
        </w:rPr>
      </w:pPr>
      <w:r>
        <w:rPr>
          <w:b/>
        </w:rPr>
        <w:t>What is the legal definition of a “fetal death”?</w:t>
      </w:r>
    </w:p>
    <w:p w:rsidR="00E0010B" w:rsidRDefault="00E0010B" w:rsidP="000661E1">
      <w:pPr>
        <w:tabs>
          <w:tab w:val="left" w:pos="-720"/>
        </w:tabs>
        <w:suppressAutoHyphens/>
        <w:rPr>
          <w:b/>
        </w:rPr>
      </w:pPr>
    </w:p>
    <w:p w:rsidR="00E0010B" w:rsidRPr="00E0010B" w:rsidRDefault="00E0010B" w:rsidP="000661E1">
      <w:pPr>
        <w:tabs>
          <w:tab w:val="left" w:pos="-720"/>
        </w:tabs>
        <w:suppressAutoHyphens/>
      </w:pPr>
      <w:r>
        <w:tab/>
      </w:r>
      <w:r w:rsidR="006C2975">
        <w:t>Under Washington law, a “fetal death” occurs when any product of conception, after complete expulsion or extraction from its mother, shows no evidence of life</w:t>
      </w:r>
      <w:r w:rsidR="00977540">
        <w:t xml:space="preserve"> such as breathing, beating of the heart, puls</w:t>
      </w:r>
      <w:r w:rsidR="00763FAB">
        <w:t>at</w:t>
      </w:r>
      <w:r w:rsidR="00977540">
        <w:t xml:space="preserve">ing of the umbilical cord, or </w:t>
      </w:r>
      <w:r w:rsidR="003667D0">
        <w:t>definite movement</w:t>
      </w:r>
      <w:r w:rsidR="00CC6922">
        <w:t xml:space="preserve"> </w:t>
      </w:r>
      <w:r w:rsidR="003667D0">
        <w:t xml:space="preserve">of </w:t>
      </w:r>
      <w:r w:rsidR="00CC6922">
        <w:t>voluntary muscles.</w:t>
      </w:r>
      <w:r w:rsidR="001C61C8">
        <w:rPr>
          <w:rStyle w:val="FootnoteReference"/>
        </w:rPr>
        <w:footnoteReference w:id="2"/>
      </w:r>
    </w:p>
    <w:p w:rsidR="004B586A" w:rsidRDefault="004B586A" w:rsidP="000661E1">
      <w:pPr>
        <w:tabs>
          <w:tab w:val="left" w:pos="-720"/>
        </w:tabs>
        <w:suppressAutoHyphens/>
      </w:pPr>
    </w:p>
    <w:p w:rsidR="000661E1" w:rsidRDefault="000661E1" w:rsidP="000661E1">
      <w:pPr>
        <w:pStyle w:val="Heading2"/>
      </w:pPr>
      <w:r>
        <w:t>Must a death certificate be prepared</w:t>
      </w:r>
      <w:r w:rsidR="009931A3">
        <w:t xml:space="preserve"> and filed</w:t>
      </w:r>
      <w:r>
        <w:t xml:space="preserve"> for all deaths?</w:t>
      </w:r>
    </w:p>
    <w:p w:rsidR="000661E1" w:rsidRDefault="000661E1" w:rsidP="000661E1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0661E1" w:rsidRDefault="000661E1" w:rsidP="000661E1">
      <w:pPr>
        <w:tabs>
          <w:tab w:val="left" w:pos="-720"/>
        </w:tabs>
        <w:suppressAutoHyphens/>
      </w:pPr>
      <w:r>
        <w:tab/>
      </w:r>
      <w:r w:rsidR="008B41A6">
        <w:t>Yes, w</w:t>
      </w:r>
      <w:r>
        <w:t>ith one exception</w:t>
      </w:r>
      <w:r w:rsidR="008B41A6">
        <w:t>—no certificate is required</w:t>
      </w:r>
      <w:r>
        <w:t xml:space="preserve"> for fetal deaths </w:t>
      </w:r>
      <w:r w:rsidR="008B41A6">
        <w:t>if</w:t>
      </w:r>
      <w:r>
        <w:t xml:space="preserve"> the period of gestation is less than 20 weeks.</w:t>
      </w:r>
      <w:r w:rsidR="00DE5B2F">
        <w:rPr>
          <w:rStyle w:val="FootnoteReference"/>
        </w:rPr>
        <w:footnoteReference w:id="3"/>
      </w:r>
    </w:p>
    <w:p w:rsidR="009931A3" w:rsidRDefault="009931A3" w:rsidP="000661E1">
      <w:pPr>
        <w:tabs>
          <w:tab w:val="left" w:pos="-720"/>
        </w:tabs>
        <w:suppressAutoHyphens/>
      </w:pPr>
    </w:p>
    <w:p w:rsidR="003C191F" w:rsidRDefault="003C191F" w:rsidP="003C191F">
      <w:pPr>
        <w:pStyle w:val="Heading2"/>
      </w:pPr>
      <w:r>
        <w:t>Who must prepare and file the death certificate?</w:t>
      </w:r>
    </w:p>
    <w:p w:rsidR="003C191F" w:rsidRDefault="003C191F" w:rsidP="003C191F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3C191F" w:rsidRDefault="003C191F" w:rsidP="003C191F">
      <w:pPr>
        <w:tabs>
          <w:tab w:val="left" w:pos="-720"/>
        </w:tabs>
        <w:suppressAutoHyphens/>
      </w:pPr>
      <w:r>
        <w:tab/>
        <w:t xml:space="preserve">The funeral director or </w:t>
      </w:r>
      <w:r w:rsidR="001F199D">
        <w:t xml:space="preserve">the </w:t>
      </w:r>
      <w:r>
        <w:t xml:space="preserve">person </w:t>
      </w:r>
      <w:r w:rsidR="001F199D">
        <w:t>with the right to dispose of the deceased’s remains</w:t>
      </w:r>
      <w:r w:rsidR="008D55C2">
        <w:rPr>
          <w:rStyle w:val="FootnoteReference"/>
        </w:rPr>
        <w:footnoteReference w:id="4"/>
      </w:r>
      <w:r>
        <w:t xml:space="preserve"> must prepare and file the death certificate.  </w:t>
      </w:r>
      <w:r w:rsidR="004B36BC">
        <w:t>In preparing the certificate, h</w:t>
      </w:r>
      <w:r w:rsidR="00513184">
        <w:t>e or she</w:t>
      </w:r>
      <w:r>
        <w:t xml:space="preserve"> must present the death certificate to the physician, physician’s assistant, or advanced registered nurse practitioner who last attended the deceased or who was in attendance at the fetal death.  </w:t>
      </w:r>
      <w:r w:rsidR="00AA3DCA">
        <w:t>Within two busine</w:t>
      </w:r>
      <w:r w:rsidR="005B58A0">
        <w:t>ss days,</w:t>
      </w:r>
      <w:r w:rsidR="00AA3DCA">
        <w:t xml:space="preserve"> </w:t>
      </w:r>
      <w:r w:rsidR="005B58A0">
        <w:t>t</w:t>
      </w:r>
      <w:r>
        <w:t>he physician, physician’s assistant, or advanced registered nurse practitioner must certify the cause of death</w:t>
      </w:r>
      <w:r w:rsidR="00332851">
        <w:t xml:space="preserve"> according to her or his best knowledge and then sign or electronically approve the certificate</w:t>
      </w:r>
      <w:r w:rsidR="009D6F76">
        <w:t xml:space="preserve"> unless good cause for not doing so within this timeframe can be established</w:t>
      </w:r>
      <w:r>
        <w:t>.</w:t>
      </w:r>
      <w:r w:rsidR="008658D3">
        <w:rPr>
          <w:rStyle w:val="FootnoteReference"/>
        </w:rPr>
        <w:footnoteReference w:id="5"/>
      </w:r>
      <w:r>
        <w:t xml:space="preserve">  </w:t>
      </w:r>
    </w:p>
    <w:p w:rsidR="003C191F" w:rsidRDefault="003C191F" w:rsidP="003C191F">
      <w:pPr>
        <w:tabs>
          <w:tab w:val="left" w:pos="-720"/>
        </w:tabs>
        <w:suppressAutoHyphens/>
      </w:pPr>
    </w:p>
    <w:p w:rsidR="003C191F" w:rsidRDefault="003C191F" w:rsidP="000661E1">
      <w:pPr>
        <w:tabs>
          <w:tab w:val="left" w:pos="-720"/>
        </w:tabs>
        <w:suppressAutoHyphens/>
      </w:pPr>
      <w:r>
        <w:tab/>
        <w:t>If the deceased died without medical attendance, the health officer,</w:t>
      </w:r>
      <w:r w:rsidR="006138F2">
        <w:t xml:space="preserve"> medical examiner,</w:t>
      </w:r>
      <w:r>
        <w:t xml:space="preserve"> coroner</w:t>
      </w:r>
      <w:r w:rsidR="006138F2">
        <w:t>,</w:t>
      </w:r>
      <w:r>
        <w:t xml:space="preserve"> or prosecuting attorney having jurisdiction must </w:t>
      </w:r>
      <w:r w:rsidR="00C40809">
        <w:t xml:space="preserve">similarly </w:t>
      </w:r>
      <w:r>
        <w:t>certify the cause of death</w:t>
      </w:r>
      <w:r w:rsidR="00C40809">
        <w:t xml:space="preserve"> and sign or </w:t>
      </w:r>
      <w:r w:rsidR="00403456">
        <w:t xml:space="preserve">electronically </w:t>
      </w:r>
      <w:r w:rsidR="00C40809">
        <w:t>approve the certificat</w:t>
      </w:r>
      <w:r w:rsidR="00FC3433">
        <w:t>ion</w:t>
      </w:r>
      <w:r w:rsidR="00D0113D">
        <w:t xml:space="preserve">.  If the circumstances suggest the cause of death </w:t>
      </w:r>
      <w:r w:rsidR="004F3C9B">
        <w:t>(or fetal death) was caused by unlawful or unnatural causes the individual completing or signing the death certificate noting</w:t>
      </w:r>
      <w:r w:rsidR="00FC3433">
        <w:t xml:space="preserve"> </w:t>
      </w:r>
      <w:r w:rsidR="004F3C9B">
        <w:t xml:space="preserve">only </w:t>
      </w:r>
      <w:r w:rsidR="00FC3433">
        <w:t>that no physician, PA, or ARNP was in attendance at the time of death</w:t>
      </w:r>
      <w:r w:rsidR="004F3C9B">
        <w:t xml:space="preserve">.  If there is no suspicion of death from unlawful or unnatural causes, the death certificate should note that no physician, PA, or ARNP was in attendance at the time of death, </w:t>
      </w:r>
      <w:r w:rsidR="00FC3433">
        <w:t xml:space="preserve">and </w:t>
      </w:r>
      <w:r w:rsidR="004F3C9B">
        <w:t xml:space="preserve">also note the cause of death without the holding of an inquest or performing an autopsy, but from </w:t>
      </w:r>
      <w:r w:rsidR="004F3C9B">
        <w:lastRenderedPageBreak/>
        <w:t>statements of family or persons in attendance at the time of death or during the deceased individual’s last illness, or others who have an adequate knowledge of the facts.</w:t>
      </w:r>
      <w:r w:rsidR="00AC1710">
        <w:t>.</w:t>
      </w:r>
      <w:r w:rsidR="0093751A">
        <w:rPr>
          <w:rStyle w:val="FootnoteReference"/>
        </w:rPr>
        <w:footnoteReference w:id="6"/>
      </w:r>
    </w:p>
    <w:p w:rsidR="0002655B" w:rsidRDefault="0002655B" w:rsidP="000661E1">
      <w:pPr>
        <w:tabs>
          <w:tab w:val="left" w:pos="-720"/>
        </w:tabs>
        <w:suppressAutoHyphens/>
      </w:pPr>
    </w:p>
    <w:p w:rsidR="0002655B" w:rsidRDefault="0002655B" w:rsidP="0002655B">
      <w:pPr>
        <w:pStyle w:val="Heading2"/>
      </w:pPr>
      <w:r>
        <w:t xml:space="preserve">Can a </w:t>
      </w:r>
      <w:r w:rsidR="00942BCF">
        <w:t xml:space="preserve">county </w:t>
      </w:r>
      <w:r>
        <w:t>coroner or medical examiner be liable for erroneous</w:t>
      </w:r>
      <w:r w:rsidR="0031374F">
        <w:t>ly</w:t>
      </w:r>
      <w:r>
        <w:t xml:space="preserve"> determin</w:t>
      </w:r>
      <w:r w:rsidR="0031374F">
        <w:t>ing</w:t>
      </w:r>
      <w:r>
        <w:t xml:space="preserve"> the cause of death?</w:t>
      </w:r>
    </w:p>
    <w:p w:rsidR="0002655B" w:rsidRDefault="0002655B" w:rsidP="0002655B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02655B" w:rsidRDefault="0002655B" w:rsidP="0002655B">
      <w:r>
        <w:tab/>
        <w:t>No.  A physician acting as a</w:t>
      </w:r>
      <w:r w:rsidR="00942BCF">
        <w:t xml:space="preserve"> county</w:t>
      </w:r>
      <w:r>
        <w:t xml:space="preserve"> coroner or medical examiner is immune from civil liability for determining the cause and manner of death.</w:t>
      </w:r>
      <w:r w:rsidR="004B458F">
        <w:rPr>
          <w:rStyle w:val="FootnoteReference"/>
        </w:rPr>
        <w:footnoteReference w:id="7"/>
      </w:r>
    </w:p>
    <w:p w:rsidR="000661E1" w:rsidRDefault="000661E1" w:rsidP="000661E1">
      <w:pPr>
        <w:tabs>
          <w:tab w:val="left" w:pos="-720"/>
        </w:tabs>
        <w:suppressAutoHyphens/>
      </w:pPr>
    </w:p>
    <w:p w:rsidR="00F37BBB" w:rsidRDefault="00F37BBB" w:rsidP="00F37BBB">
      <w:pPr>
        <w:pStyle w:val="Heading2"/>
      </w:pPr>
      <w:r>
        <w:t>When and where must a death certificate be filed?</w:t>
      </w:r>
    </w:p>
    <w:p w:rsidR="00F37BBB" w:rsidRDefault="00F37BBB" w:rsidP="00F37BBB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F37BBB" w:rsidRDefault="00F37BBB" w:rsidP="00F37BBB">
      <w:pPr>
        <w:tabs>
          <w:tab w:val="left" w:pos="-720"/>
        </w:tabs>
        <w:suppressAutoHyphens/>
      </w:pPr>
      <w:r>
        <w:tab/>
        <w:t xml:space="preserve">If the place of death is known, a death certificate must be filed with the local registrar of the </w:t>
      </w:r>
      <w:r w:rsidRPr="00D415B8">
        <w:t xml:space="preserve">district </w:t>
      </w:r>
      <w:r>
        <w:t>where the death occurred within three business days after the death becomes known. .</w:t>
      </w:r>
    </w:p>
    <w:p w:rsidR="00F37BBB" w:rsidRDefault="00F37BBB" w:rsidP="00F37BBB">
      <w:pPr>
        <w:tabs>
          <w:tab w:val="left" w:pos="-720"/>
        </w:tabs>
        <w:suppressAutoHyphens/>
      </w:pPr>
    </w:p>
    <w:p w:rsidR="00F37BBB" w:rsidRDefault="00F37BBB" w:rsidP="00F37BBB">
      <w:pPr>
        <w:tabs>
          <w:tab w:val="left" w:pos="-720"/>
        </w:tabs>
        <w:suppressAutoHyphens/>
      </w:pPr>
      <w:r>
        <w:tab/>
        <w:t>If the place of death is not known, the death certificate must be filed with the local registrar of the district where the body</w:t>
      </w:r>
      <w:r>
        <w:t>’s remains</w:t>
      </w:r>
      <w:r>
        <w:t xml:space="preserve"> </w:t>
      </w:r>
      <w:r>
        <w:t>are</w:t>
      </w:r>
      <w:r>
        <w:t xml:space="preserve"> discovered within one business day </w:t>
      </w:r>
      <w:r>
        <w:t xml:space="preserve">of the </w:t>
      </w:r>
      <w:r>
        <w:t>discover</w:t>
      </w:r>
      <w:r>
        <w:t>y</w:t>
      </w:r>
      <w:r>
        <w:t>.</w:t>
      </w:r>
      <w:r w:rsidR="00C17D64">
        <w:rPr>
          <w:rStyle w:val="FootnoteReference"/>
        </w:rPr>
        <w:footnoteReference w:id="8"/>
      </w:r>
    </w:p>
    <w:p w:rsidR="00F37BBB" w:rsidRDefault="00F37BBB" w:rsidP="00F37BBB">
      <w:pPr>
        <w:tabs>
          <w:tab w:val="left" w:pos="-720"/>
        </w:tabs>
        <w:suppressAutoHyphens/>
      </w:pPr>
    </w:p>
    <w:p w:rsidR="00F37BBB" w:rsidRDefault="00F37BBB" w:rsidP="00F37BBB">
      <w:pPr>
        <w:tabs>
          <w:tab w:val="left" w:pos="-720"/>
        </w:tabs>
        <w:suppressAutoHyphens/>
      </w:pPr>
      <w:r>
        <w:tab/>
        <w:t>The death certificate must be filed before</w:t>
      </w:r>
      <w:r>
        <w:t xml:space="preserve"> the body’s</w:t>
      </w:r>
      <w:r>
        <w:t xml:space="preserve"> interment or other disposition.</w:t>
      </w:r>
      <w:r>
        <w:rPr>
          <w:rStyle w:val="FootnoteReference"/>
        </w:rPr>
        <w:footnoteReference w:id="9"/>
      </w:r>
      <w:r w:rsidR="0047104B">
        <w:t xml:space="preserve">  If </w:t>
      </w:r>
      <w:r w:rsidR="00684367">
        <w:t xml:space="preserve">after three business days, </w:t>
      </w:r>
      <w:r w:rsidR="0047104B">
        <w:t xml:space="preserve">however, </w:t>
      </w:r>
      <w:r w:rsidR="00684367">
        <w:t>the cause of death still cannot be determined</w:t>
      </w:r>
      <w:r w:rsidR="00173C32">
        <w:t xml:space="preserve">—and </w:t>
      </w:r>
      <w:r w:rsidR="00741CE0">
        <w:t xml:space="preserve">thus </w:t>
      </w:r>
      <w:r w:rsidR="006B590D">
        <w:t xml:space="preserve">the certificate </w:t>
      </w:r>
      <w:r w:rsidR="00741CE0">
        <w:t xml:space="preserve">cannot </w:t>
      </w:r>
      <w:r w:rsidR="00386794">
        <w:t xml:space="preserve">yet </w:t>
      </w:r>
      <w:r w:rsidR="00741CE0">
        <w:t>be certified</w:t>
      </w:r>
      <w:r w:rsidR="006B590D">
        <w:t xml:space="preserve"> and filed</w:t>
      </w:r>
      <w:r w:rsidR="00173C32">
        <w:t xml:space="preserve">—the </w:t>
      </w:r>
      <w:r w:rsidR="00667557">
        <w:t xml:space="preserve">deceased’s </w:t>
      </w:r>
      <w:r w:rsidR="00173C32">
        <w:t xml:space="preserve">attending physician must </w:t>
      </w:r>
      <w:r w:rsidR="000535BC">
        <w:t>give a written explanation for the delay to the local registrar of the distri</w:t>
      </w:r>
      <w:r w:rsidR="0053586D">
        <w:t>ct where the death occurred so that a permit for the body’s disposition can be issued.</w:t>
      </w:r>
      <w:r w:rsidR="00F14271">
        <w:rPr>
          <w:rStyle w:val="FootnoteReference"/>
        </w:rPr>
        <w:footnoteReference w:id="10"/>
      </w:r>
    </w:p>
    <w:p w:rsidR="000661E1" w:rsidRDefault="000661E1" w:rsidP="000661E1">
      <w:pPr>
        <w:tabs>
          <w:tab w:val="left" w:pos="-720"/>
        </w:tabs>
        <w:suppressAutoHyphens/>
      </w:pPr>
    </w:p>
    <w:p w:rsidR="00F46802" w:rsidRDefault="00F46802" w:rsidP="00F46802">
      <w:pPr>
        <w:pStyle w:val="Heading2"/>
      </w:pPr>
      <w:r>
        <w:t>Are there penalties for failing to comply with death certificate requirements?</w:t>
      </w:r>
    </w:p>
    <w:p w:rsidR="00F46802" w:rsidRDefault="00F46802" w:rsidP="00F46802">
      <w:pPr>
        <w:keepNext/>
        <w:keepLines/>
        <w:widowControl w:val="0"/>
        <w:tabs>
          <w:tab w:val="left" w:pos="-720"/>
        </w:tabs>
        <w:suppressAutoHyphens/>
      </w:pPr>
    </w:p>
    <w:p w:rsidR="00F46802" w:rsidRDefault="00F46802" w:rsidP="00F46802">
      <w:r>
        <w:tab/>
        <w:t>Yes.  Failure to comply with death certificate requirements is a misdemeanor; repeated violations may subject a physician to a fine of up to $250, imprisonment for up to 90 days, or both.</w:t>
      </w:r>
      <w:r>
        <w:rPr>
          <w:rStyle w:val="FootnoteReference"/>
        </w:rPr>
        <w:footnoteReference w:id="11"/>
      </w:r>
      <w:r>
        <w:t xml:space="preserve">  Also, willfully providing false information for or making any false statement on a death certificate is a gross misdemeanor.</w:t>
      </w:r>
      <w:r>
        <w:rPr>
          <w:rStyle w:val="FootnoteReference"/>
        </w:rPr>
        <w:footnoteReference w:id="12"/>
      </w:r>
    </w:p>
    <w:p w:rsidR="006672B9" w:rsidRDefault="006672B9" w:rsidP="00F46802"/>
    <w:sectPr w:rsidR="006672B9" w:rsidSect="0092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C9B" w:rsidRDefault="004F3C9B" w:rsidP="00CC230C">
      <w:r>
        <w:separator/>
      </w:r>
    </w:p>
  </w:endnote>
  <w:endnote w:type="continuationSeparator" w:id="0">
    <w:p w:rsidR="004F3C9B" w:rsidRDefault="004F3C9B" w:rsidP="00CC2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C9B" w:rsidRDefault="004F3C9B" w:rsidP="00CC230C">
      <w:r>
        <w:separator/>
      </w:r>
    </w:p>
  </w:footnote>
  <w:footnote w:type="continuationSeparator" w:id="0">
    <w:p w:rsidR="004F3C9B" w:rsidRDefault="004F3C9B" w:rsidP="00CC230C">
      <w:r>
        <w:continuationSeparator/>
      </w:r>
    </w:p>
  </w:footnote>
  <w:footnote w:id="1">
    <w:p w:rsidR="004F3C9B" w:rsidRPr="00CC230C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In re</w:t>
      </w:r>
      <w:r>
        <w:t xml:space="preserve"> Welfare of Bowman, 94 Wn.2d 407, 421 (1980) (adopting the Uniform Determination of Death Act).</w:t>
      </w:r>
    </w:p>
  </w:footnote>
  <w:footnote w:id="2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70.58.150.</w:t>
      </w:r>
      <w:proofErr w:type="gramEnd"/>
    </w:p>
  </w:footnote>
  <w:footnote w:id="3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70.58.160.</w:t>
      </w:r>
      <w:proofErr w:type="gramEnd"/>
    </w:p>
  </w:footnote>
  <w:footnote w:id="4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RCW 68.50.160 addresses the question of who may have this right.</w:t>
      </w:r>
    </w:p>
  </w:footnote>
  <w:footnote w:id="5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70.58.170.</w:t>
      </w:r>
      <w:proofErr w:type="gramEnd"/>
    </w:p>
  </w:footnote>
  <w:footnote w:id="6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70.58.180.</w:t>
      </w:r>
      <w:proofErr w:type="gramEnd"/>
    </w:p>
  </w:footnote>
  <w:footnote w:id="7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68.50.015.</w:t>
      </w:r>
      <w:proofErr w:type="gramEnd"/>
    </w:p>
  </w:footnote>
  <w:footnote w:id="8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70.58.160.</w:t>
      </w:r>
      <w:proofErr w:type="gramEnd"/>
    </w:p>
  </w:footnote>
  <w:footnote w:id="9">
    <w:p w:rsidR="004F3C9B" w:rsidRDefault="004F3C9B" w:rsidP="00F37B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70.58.160.</w:t>
      </w:r>
      <w:proofErr w:type="gramEnd"/>
    </w:p>
  </w:footnote>
  <w:footnote w:id="10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70.58.190.</w:t>
      </w:r>
      <w:proofErr w:type="gramEnd"/>
    </w:p>
  </w:footnote>
  <w:footnote w:id="11">
    <w:p w:rsidR="00F46802" w:rsidRDefault="00F46802" w:rsidP="00F468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70.58.280(1).</w:t>
      </w:r>
      <w:proofErr w:type="gramEnd"/>
    </w:p>
  </w:footnote>
  <w:footnote w:id="12">
    <w:p w:rsidR="00F46802" w:rsidRDefault="00F46802" w:rsidP="00F468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70.58.280(2).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1E1"/>
    <w:rsid w:val="000019E9"/>
    <w:rsid w:val="000135E2"/>
    <w:rsid w:val="0002655B"/>
    <w:rsid w:val="00040455"/>
    <w:rsid w:val="00047443"/>
    <w:rsid w:val="000535BC"/>
    <w:rsid w:val="000661E1"/>
    <w:rsid w:val="000D2ACA"/>
    <w:rsid w:val="000D6F42"/>
    <w:rsid w:val="000E1055"/>
    <w:rsid w:val="0010573F"/>
    <w:rsid w:val="00117B0A"/>
    <w:rsid w:val="00136159"/>
    <w:rsid w:val="00137A11"/>
    <w:rsid w:val="00151917"/>
    <w:rsid w:val="00173C32"/>
    <w:rsid w:val="00176DFF"/>
    <w:rsid w:val="00186197"/>
    <w:rsid w:val="001C61C8"/>
    <w:rsid w:val="001D569E"/>
    <w:rsid w:val="001F123B"/>
    <w:rsid w:val="001F199D"/>
    <w:rsid w:val="00211B20"/>
    <w:rsid w:val="002B029E"/>
    <w:rsid w:val="002E3152"/>
    <w:rsid w:val="0031244D"/>
    <w:rsid w:val="0031374F"/>
    <w:rsid w:val="00332851"/>
    <w:rsid w:val="003667D0"/>
    <w:rsid w:val="00384964"/>
    <w:rsid w:val="00386794"/>
    <w:rsid w:val="003A2B76"/>
    <w:rsid w:val="003C191F"/>
    <w:rsid w:val="003C5FDE"/>
    <w:rsid w:val="003E047D"/>
    <w:rsid w:val="003F025D"/>
    <w:rsid w:val="00403456"/>
    <w:rsid w:val="00450580"/>
    <w:rsid w:val="00456BEE"/>
    <w:rsid w:val="0046091B"/>
    <w:rsid w:val="004630D4"/>
    <w:rsid w:val="004679D7"/>
    <w:rsid w:val="0047104B"/>
    <w:rsid w:val="00480973"/>
    <w:rsid w:val="004B36BC"/>
    <w:rsid w:val="004B458F"/>
    <w:rsid w:val="004B586A"/>
    <w:rsid w:val="004E5E65"/>
    <w:rsid w:val="004F3C9B"/>
    <w:rsid w:val="005034A0"/>
    <w:rsid w:val="00513184"/>
    <w:rsid w:val="0053586D"/>
    <w:rsid w:val="0053649A"/>
    <w:rsid w:val="00570DC2"/>
    <w:rsid w:val="00586160"/>
    <w:rsid w:val="005B58A0"/>
    <w:rsid w:val="006138F2"/>
    <w:rsid w:val="00616FB3"/>
    <w:rsid w:val="00634611"/>
    <w:rsid w:val="0066640B"/>
    <w:rsid w:val="006672B9"/>
    <w:rsid w:val="00667557"/>
    <w:rsid w:val="00682044"/>
    <w:rsid w:val="00683EC4"/>
    <w:rsid w:val="00684367"/>
    <w:rsid w:val="006B590D"/>
    <w:rsid w:val="006C2975"/>
    <w:rsid w:val="00710B76"/>
    <w:rsid w:val="00715859"/>
    <w:rsid w:val="00731CEC"/>
    <w:rsid w:val="00741CE0"/>
    <w:rsid w:val="007469C4"/>
    <w:rsid w:val="00763FAB"/>
    <w:rsid w:val="00851D21"/>
    <w:rsid w:val="0085460D"/>
    <w:rsid w:val="00864FC4"/>
    <w:rsid w:val="008658D3"/>
    <w:rsid w:val="008831F2"/>
    <w:rsid w:val="008B41A6"/>
    <w:rsid w:val="008D55C2"/>
    <w:rsid w:val="008E5000"/>
    <w:rsid w:val="00922D6A"/>
    <w:rsid w:val="00923FD5"/>
    <w:rsid w:val="0093751A"/>
    <w:rsid w:val="00942BCF"/>
    <w:rsid w:val="009711A6"/>
    <w:rsid w:val="00977540"/>
    <w:rsid w:val="00987715"/>
    <w:rsid w:val="009931A3"/>
    <w:rsid w:val="009B28F4"/>
    <w:rsid w:val="009D0C56"/>
    <w:rsid w:val="009D6F76"/>
    <w:rsid w:val="009D7075"/>
    <w:rsid w:val="009F452D"/>
    <w:rsid w:val="00A15BEC"/>
    <w:rsid w:val="00A41B11"/>
    <w:rsid w:val="00A44EA3"/>
    <w:rsid w:val="00A5008B"/>
    <w:rsid w:val="00A637BD"/>
    <w:rsid w:val="00A8564C"/>
    <w:rsid w:val="00A90B7B"/>
    <w:rsid w:val="00AA3DCA"/>
    <w:rsid w:val="00AA5804"/>
    <w:rsid w:val="00AA6BFD"/>
    <w:rsid w:val="00AB053A"/>
    <w:rsid w:val="00AC1710"/>
    <w:rsid w:val="00AD1438"/>
    <w:rsid w:val="00AD6BAE"/>
    <w:rsid w:val="00B1386E"/>
    <w:rsid w:val="00B27FBE"/>
    <w:rsid w:val="00B649C2"/>
    <w:rsid w:val="00B805EB"/>
    <w:rsid w:val="00B87BFC"/>
    <w:rsid w:val="00BA7683"/>
    <w:rsid w:val="00BC410D"/>
    <w:rsid w:val="00BD7056"/>
    <w:rsid w:val="00BD7C6B"/>
    <w:rsid w:val="00C17D64"/>
    <w:rsid w:val="00C210A8"/>
    <w:rsid w:val="00C40809"/>
    <w:rsid w:val="00C4302F"/>
    <w:rsid w:val="00C91F0A"/>
    <w:rsid w:val="00CA2EAB"/>
    <w:rsid w:val="00CC230C"/>
    <w:rsid w:val="00CC6922"/>
    <w:rsid w:val="00CD1B9C"/>
    <w:rsid w:val="00CD1F8E"/>
    <w:rsid w:val="00CE4B2E"/>
    <w:rsid w:val="00D0113D"/>
    <w:rsid w:val="00D15BD0"/>
    <w:rsid w:val="00D24B17"/>
    <w:rsid w:val="00D415B8"/>
    <w:rsid w:val="00D426A9"/>
    <w:rsid w:val="00D87929"/>
    <w:rsid w:val="00DA7E22"/>
    <w:rsid w:val="00DE5B2F"/>
    <w:rsid w:val="00E0010B"/>
    <w:rsid w:val="00E07A1E"/>
    <w:rsid w:val="00E24F04"/>
    <w:rsid w:val="00E372B8"/>
    <w:rsid w:val="00E62B69"/>
    <w:rsid w:val="00E62E50"/>
    <w:rsid w:val="00E92C4E"/>
    <w:rsid w:val="00E957F1"/>
    <w:rsid w:val="00E96D72"/>
    <w:rsid w:val="00ED0FD5"/>
    <w:rsid w:val="00EF7E02"/>
    <w:rsid w:val="00F07865"/>
    <w:rsid w:val="00F07F52"/>
    <w:rsid w:val="00F14271"/>
    <w:rsid w:val="00F178B3"/>
    <w:rsid w:val="00F30120"/>
    <w:rsid w:val="00F35D92"/>
    <w:rsid w:val="00F37BBB"/>
    <w:rsid w:val="00F46802"/>
    <w:rsid w:val="00F65EF6"/>
    <w:rsid w:val="00F83F8C"/>
    <w:rsid w:val="00F87DAF"/>
    <w:rsid w:val="00FC3433"/>
    <w:rsid w:val="00FF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E1"/>
    <w:pPr>
      <w:jc w:val="both"/>
    </w:pPr>
    <w:rPr>
      <w:rFonts w:eastAsia="Times New Roman" w:cs="Times New Roman"/>
      <w:snapToGrid w:val="0"/>
      <w:szCs w:val="20"/>
    </w:rPr>
  </w:style>
  <w:style w:type="paragraph" w:styleId="Heading2">
    <w:name w:val="heading 2"/>
    <w:basedOn w:val="Normal"/>
    <w:next w:val="Normal"/>
    <w:link w:val="Heading2Char"/>
    <w:qFormat/>
    <w:rsid w:val="000661E1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61E1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0661E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64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30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30C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230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C4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D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D"/>
    <w:rPr>
      <w:rFonts w:eastAsia="Times New Roman" w:cs="Times New Roman"/>
      <w:b/>
      <w:bCs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E1"/>
    <w:pPr>
      <w:jc w:val="both"/>
    </w:pPr>
    <w:rPr>
      <w:rFonts w:eastAsia="Times New Roman" w:cs="Times New Roman"/>
      <w:snapToGrid w:val="0"/>
      <w:szCs w:val="20"/>
    </w:rPr>
  </w:style>
  <w:style w:type="paragraph" w:styleId="Heading2">
    <w:name w:val="heading 2"/>
    <w:basedOn w:val="Normal"/>
    <w:next w:val="Normal"/>
    <w:link w:val="Heading2Char"/>
    <w:qFormat/>
    <w:rsid w:val="000661E1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61E1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0661E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64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30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30C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230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C4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D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D"/>
    <w:rPr>
      <w:rFonts w:eastAsia="Times New Roman" w:cs="Times New Roman"/>
      <w:b/>
      <w:bCs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73555-4CA0-4F50-B243-62657E2A1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20F8AB-3DB1-44B0-A1F2-16F288094785}"/>
</file>

<file path=customXml/itemProps3.xml><?xml version="1.0" encoding="utf-8"?>
<ds:datastoreItem xmlns:ds="http://schemas.openxmlformats.org/officeDocument/2006/customXml" ds:itemID="{435D9793-AFD6-44AF-A80A-1AF9B40106E7}"/>
</file>

<file path=customXml/itemProps4.xml><?xml version="1.0" encoding="utf-8"?>
<ds:datastoreItem xmlns:ds="http://schemas.openxmlformats.org/officeDocument/2006/customXml" ds:itemID="{8A6FA74C-D259-4941-8AC7-199E3C077A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3</cp:revision>
  <dcterms:created xsi:type="dcterms:W3CDTF">2012-11-21T18:14:00Z</dcterms:created>
  <dcterms:modified xsi:type="dcterms:W3CDTF">2012-11-21T19:29:00Z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