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18A" w:rsidRDefault="0090118A" w:rsidP="0090118A">
      <w:pPr>
        <w:pStyle w:val="Heading1"/>
      </w:pPr>
      <w:bookmarkStart w:id="0" w:name="_Toc161565668"/>
      <w:r>
        <w:t>DISCRIMINATION</w:t>
      </w:r>
      <w:bookmarkEnd w:id="0"/>
    </w:p>
    <w:p w:rsidR="0090118A" w:rsidRDefault="0090118A" w:rsidP="0090118A">
      <w:pPr>
        <w:keepNext/>
        <w:keepLines/>
        <w:widowControl w:val="0"/>
      </w:pPr>
    </w:p>
    <w:p w:rsidR="0090118A" w:rsidRDefault="0090118A" w:rsidP="0090118A">
      <w:pPr>
        <w:keepNext/>
        <w:keepLines/>
        <w:widowControl w:val="0"/>
      </w:pPr>
    </w:p>
    <w:p w:rsidR="0090118A" w:rsidRDefault="0090118A" w:rsidP="0090118A">
      <w:pPr>
        <w:pStyle w:val="Heading2"/>
      </w:pPr>
      <w:r>
        <w:t>On what bases is a physician prohibited from denying a person access to professional services or treatment?</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Washington law and various federal laws prohibit physicians from denying a person access to professional services or treatment based on the following particular individual attributes:</w:t>
      </w:r>
      <w:r w:rsidR="008D4CD6">
        <w:rPr>
          <w:rStyle w:val="FootnoteReference"/>
        </w:rPr>
        <w:footnoteReference w:id="1"/>
      </w:r>
    </w:p>
    <w:p w:rsidR="0090118A" w:rsidRDefault="0090118A" w:rsidP="0090118A">
      <w:pPr>
        <w:tabs>
          <w:tab w:val="left" w:pos="-720"/>
        </w:tabs>
        <w:suppressAutoHyphens/>
      </w:pPr>
    </w:p>
    <w:p w:rsidR="0090118A" w:rsidRDefault="0090118A" w:rsidP="0090118A">
      <w:pPr>
        <w:pStyle w:val="ListBullet"/>
      </w:pPr>
      <w:r>
        <w:t>Race.</w:t>
      </w:r>
    </w:p>
    <w:p w:rsidR="0090118A" w:rsidRDefault="0090118A" w:rsidP="0090118A">
      <w:pPr>
        <w:tabs>
          <w:tab w:val="left" w:pos="-720"/>
        </w:tabs>
        <w:suppressAutoHyphens/>
      </w:pPr>
    </w:p>
    <w:p w:rsidR="0090118A" w:rsidRDefault="0090118A" w:rsidP="0090118A">
      <w:pPr>
        <w:pStyle w:val="ListBullet"/>
      </w:pPr>
      <w:r>
        <w:t>Creed.</w:t>
      </w:r>
    </w:p>
    <w:p w:rsidR="0090118A" w:rsidRDefault="0090118A" w:rsidP="0090118A">
      <w:pPr>
        <w:tabs>
          <w:tab w:val="left" w:pos="-720"/>
        </w:tabs>
        <w:suppressAutoHyphens/>
      </w:pPr>
    </w:p>
    <w:p w:rsidR="0090118A" w:rsidRDefault="0090118A" w:rsidP="0090118A">
      <w:pPr>
        <w:pStyle w:val="ListBullet"/>
      </w:pPr>
      <w:r>
        <w:t>Color.</w:t>
      </w:r>
    </w:p>
    <w:p w:rsidR="0090118A" w:rsidRDefault="0090118A" w:rsidP="0090118A">
      <w:pPr>
        <w:tabs>
          <w:tab w:val="left" w:pos="-720"/>
        </w:tabs>
        <w:suppressAutoHyphens/>
      </w:pPr>
    </w:p>
    <w:p w:rsidR="0090118A" w:rsidRDefault="0090118A" w:rsidP="0090118A">
      <w:pPr>
        <w:pStyle w:val="ListBullet"/>
      </w:pPr>
      <w:r>
        <w:t>Sex.</w:t>
      </w:r>
    </w:p>
    <w:p w:rsidR="0090118A" w:rsidRDefault="0090118A" w:rsidP="0090118A">
      <w:pPr>
        <w:tabs>
          <w:tab w:val="left" w:pos="-720"/>
        </w:tabs>
        <w:suppressAutoHyphens/>
      </w:pPr>
    </w:p>
    <w:p w:rsidR="0090118A" w:rsidRDefault="0090118A" w:rsidP="0090118A">
      <w:pPr>
        <w:pStyle w:val="ListBullet"/>
      </w:pPr>
      <w:r>
        <w:t>National origin or ancestry.</w:t>
      </w:r>
    </w:p>
    <w:p w:rsidR="0090118A" w:rsidRDefault="0090118A" w:rsidP="0090118A">
      <w:pPr>
        <w:tabs>
          <w:tab w:val="left" w:pos="-720"/>
        </w:tabs>
        <w:suppressAutoHyphens/>
      </w:pPr>
    </w:p>
    <w:p w:rsidR="0090118A" w:rsidRDefault="008D2921" w:rsidP="0090118A">
      <w:pPr>
        <w:pStyle w:val="ListBullet"/>
      </w:pPr>
      <w:r>
        <w:t>Sensory, mental, or p</w:t>
      </w:r>
      <w:r w:rsidR="0090118A">
        <w:t>hysical handicap or disability.</w:t>
      </w:r>
      <w:r w:rsidR="00235E4B">
        <w:rPr>
          <w:rStyle w:val="FootnoteReference"/>
        </w:rPr>
        <w:footnoteReference w:id="2"/>
      </w:r>
    </w:p>
    <w:p w:rsidR="0090118A" w:rsidRDefault="0090118A" w:rsidP="0090118A">
      <w:pPr>
        <w:tabs>
          <w:tab w:val="left" w:pos="-720"/>
        </w:tabs>
        <w:suppressAutoHyphens/>
      </w:pPr>
    </w:p>
    <w:p w:rsidR="0090118A" w:rsidRDefault="0090118A" w:rsidP="0090118A">
      <w:pPr>
        <w:pStyle w:val="ListBullet"/>
      </w:pPr>
      <w:r>
        <w:t xml:space="preserve">A disabled person’s use of a trained guide dog or service </w:t>
      </w:r>
      <w:r w:rsidR="00C82054">
        <w:t>animal</w:t>
      </w:r>
      <w:r>
        <w:t>.</w:t>
      </w:r>
      <w:r w:rsidR="00235E4B">
        <w:rPr>
          <w:rStyle w:val="FootnoteReference"/>
        </w:rPr>
        <w:footnoteReference w:id="3"/>
      </w:r>
    </w:p>
    <w:p w:rsidR="0090118A" w:rsidRDefault="0090118A" w:rsidP="0090118A">
      <w:pPr>
        <w:tabs>
          <w:tab w:val="left" w:pos="-720"/>
        </w:tabs>
        <w:suppressAutoHyphens/>
      </w:pPr>
    </w:p>
    <w:p w:rsidR="001B1296" w:rsidRDefault="0090118A" w:rsidP="0090118A">
      <w:pPr>
        <w:tabs>
          <w:tab w:val="left" w:pos="-720"/>
        </w:tabs>
        <w:suppressAutoHyphens/>
      </w:pPr>
      <w:r>
        <w:tab/>
        <w:t xml:space="preserve">Washington law also prohibits </w:t>
      </w:r>
      <w:r w:rsidR="001B2B9A">
        <w:t xml:space="preserve">this kind of </w:t>
      </w:r>
      <w:r>
        <w:t xml:space="preserve">discrimination on the basis of sexual orientation (including gender identity) </w:t>
      </w:r>
      <w:r w:rsidR="001B2B9A">
        <w:t>or honorably discharged veteran or military status.</w:t>
      </w:r>
      <w:r w:rsidR="00EC062E" w:rsidRPr="00EC062E">
        <w:rPr>
          <w:rStyle w:val="FootnoteReference"/>
        </w:rPr>
        <w:t xml:space="preserve"> </w:t>
      </w:r>
      <w:r w:rsidR="00EC062E">
        <w:rPr>
          <w:rStyle w:val="FootnoteReference"/>
        </w:rPr>
        <w:footnoteReference w:id="4"/>
      </w:r>
    </w:p>
    <w:p w:rsidR="0090118A" w:rsidRDefault="0090118A" w:rsidP="0090118A">
      <w:pPr>
        <w:tabs>
          <w:tab w:val="left" w:pos="-720"/>
        </w:tabs>
        <w:suppressAutoHyphens/>
      </w:pPr>
    </w:p>
    <w:p w:rsidR="0090118A" w:rsidRDefault="0090118A" w:rsidP="0090118A">
      <w:pPr>
        <w:tabs>
          <w:tab w:val="left" w:pos="-720"/>
        </w:tabs>
        <w:suppressAutoHyphens/>
      </w:pPr>
      <w:r>
        <w:tab/>
        <w:t>The following conduct, if based on one or more of these particular individual attributes of a patient or a prospective patient, can constitute unlawful discrimination in Washington:</w:t>
      </w:r>
      <w:r w:rsidR="002B2A2D">
        <w:rPr>
          <w:rStyle w:val="FootnoteReference"/>
        </w:rPr>
        <w:footnoteReference w:id="5"/>
      </w:r>
    </w:p>
    <w:p w:rsidR="0090118A" w:rsidRDefault="0090118A" w:rsidP="0090118A">
      <w:pPr>
        <w:tabs>
          <w:tab w:val="left" w:pos="-720"/>
        </w:tabs>
        <w:suppressAutoHyphens/>
      </w:pPr>
    </w:p>
    <w:p w:rsidR="0090118A" w:rsidRDefault="0090118A" w:rsidP="0090118A">
      <w:pPr>
        <w:pStyle w:val="ListBullet"/>
      </w:pPr>
      <w:r>
        <w:t>Denying a person entrance to a hospital, clinic, or physician’s office.</w:t>
      </w:r>
    </w:p>
    <w:p w:rsidR="0090118A" w:rsidRDefault="0090118A" w:rsidP="0090118A">
      <w:pPr>
        <w:tabs>
          <w:tab w:val="left" w:pos="-720"/>
        </w:tabs>
        <w:suppressAutoHyphens/>
      </w:pPr>
    </w:p>
    <w:p w:rsidR="0090118A" w:rsidRDefault="0090118A" w:rsidP="0090118A">
      <w:pPr>
        <w:pStyle w:val="ListBullet"/>
      </w:pPr>
      <w:r>
        <w:t>Denying a person professional treatment or services.</w:t>
      </w:r>
    </w:p>
    <w:p w:rsidR="0090118A" w:rsidRDefault="0090118A" w:rsidP="0090118A">
      <w:pPr>
        <w:tabs>
          <w:tab w:val="left" w:pos="-720"/>
        </w:tabs>
        <w:suppressAutoHyphens/>
      </w:pPr>
    </w:p>
    <w:p w:rsidR="0090118A" w:rsidRDefault="0090118A" w:rsidP="0090118A">
      <w:pPr>
        <w:pStyle w:val="ListBullet"/>
      </w:pPr>
      <w:r>
        <w:t>Causing a person seeking such services to be treated as not welcome, accepted, desired, or solicited.</w:t>
      </w:r>
    </w:p>
    <w:p w:rsidR="0090118A" w:rsidRDefault="0090118A" w:rsidP="0090118A">
      <w:pPr>
        <w:tabs>
          <w:tab w:val="left" w:pos="-720"/>
        </w:tabs>
        <w:suppressAutoHyphens/>
      </w:pPr>
    </w:p>
    <w:p w:rsidR="0090118A" w:rsidRDefault="0090118A" w:rsidP="0090118A">
      <w:pPr>
        <w:pStyle w:val="Heading2"/>
      </w:pPr>
      <w:r>
        <w:t>Can a physician be personally liable for discrimination in the access to or delivery of medical treatment?</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 xml:space="preserve">Yes.  Almost all hospitals, clinics, laboratories, physician offices, universities, colleges, schools, and other places where medical treatment is delivered are places of public accommodation </w:t>
      </w:r>
      <w:r w:rsidR="007945FA">
        <w:t>that</w:t>
      </w:r>
      <w:r>
        <w:t xml:space="preserve"> are prohibited from discriminati</w:t>
      </w:r>
      <w:r w:rsidR="00514941">
        <w:t>ng</w:t>
      </w:r>
      <w:r>
        <w:t xml:space="preserve"> in the access to or delivery of medical care.</w:t>
      </w:r>
      <w:r w:rsidR="00C07745">
        <w:rPr>
          <w:rStyle w:val="FootnoteReference"/>
        </w:rPr>
        <w:footnoteReference w:id="6"/>
      </w:r>
      <w:r w:rsidR="00C5057E">
        <w:t xml:space="preserve">  T</w:t>
      </w:r>
      <w:r>
        <w:t xml:space="preserve">he Washington Law </w:t>
      </w:r>
      <w:proofErr w:type="gramStart"/>
      <w:r>
        <w:t>Against</w:t>
      </w:r>
      <w:proofErr w:type="gramEnd"/>
      <w:r>
        <w:t xml:space="preserve"> Discrimination </w:t>
      </w:r>
      <w:r w:rsidR="007160F0">
        <w:t xml:space="preserve">(WLAD) </w:t>
      </w:r>
      <w:r>
        <w:t xml:space="preserve">permits </w:t>
      </w:r>
      <w:r w:rsidR="00C5057E">
        <w:t xml:space="preserve">not only injunction, but </w:t>
      </w:r>
      <w:r>
        <w:t xml:space="preserve">recovery </w:t>
      </w:r>
      <w:r w:rsidR="00C5057E">
        <w:t xml:space="preserve">of actual damages sustained by the aggrieved individual (or both) and attorneys’ fee </w:t>
      </w:r>
      <w:r w:rsidR="007160F0">
        <w:t xml:space="preserve">against </w:t>
      </w:r>
      <w:r>
        <w:t>persons</w:t>
      </w:r>
      <w:r w:rsidR="007160F0">
        <w:t xml:space="preserve"> found to have violated the WLAD</w:t>
      </w:r>
      <w:r>
        <w:t xml:space="preserve">, </w:t>
      </w:r>
      <w:r w:rsidR="007160F0">
        <w:t xml:space="preserve">including in places </w:t>
      </w:r>
      <w:r>
        <w:t>of public accommodation.</w:t>
      </w:r>
      <w:r w:rsidR="001B2368">
        <w:rPr>
          <w:rStyle w:val="FootnoteReference"/>
        </w:rPr>
        <w:footnoteReference w:id="7"/>
      </w:r>
    </w:p>
    <w:p w:rsidR="0090118A" w:rsidRDefault="0090118A" w:rsidP="0090118A">
      <w:pPr>
        <w:tabs>
          <w:tab w:val="left" w:pos="-720"/>
        </w:tabs>
        <w:suppressAutoHyphens/>
      </w:pPr>
    </w:p>
    <w:p w:rsidR="0090118A" w:rsidRDefault="0090118A" w:rsidP="0090118A">
      <w:pPr>
        <w:pStyle w:val="Heading2"/>
      </w:pPr>
      <w:r>
        <w:t>Is it a criminal offense for a physician to withhold professional services or treatment from a person based on the person’s race, creed or color?</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Yes.  In Washington, it is a misdemeanor to deny a person access to professional services or treatment based on the person’s race, creed or color.</w:t>
      </w:r>
      <w:r w:rsidR="000070DA">
        <w:rPr>
          <w:rStyle w:val="FootnoteReference"/>
        </w:rPr>
        <w:footnoteReference w:id="8"/>
      </w:r>
    </w:p>
    <w:p w:rsidR="0090118A" w:rsidRDefault="0090118A" w:rsidP="0090118A">
      <w:pPr>
        <w:tabs>
          <w:tab w:val="left" w:pos="-720"/>
        </w:tabs>
        <w:suppressAutoHyphens/>
      </w:pPr>
    </w:p>
    <w:p w:rsidR="007160F0" w:rsidRPr="00D70B99" w:rsidRDefault="007160F0" w:rsidP="007160F0">
      <w:pPr>
        <w:rPr>
          <w:b/>
          <w:szCs w:val="24"/>
        </w:rPr>
      </w:pPr>
      <w:r w:rsidRPr="008E4ADE">
        <w:rPr>
          <w:b/>
          <w:szCs w:val="24"/>
        </w:rPr>
        <w:t>Is a physician prohibited from refusing to treat persons who have AIDS, are HIV positive, appear to have AIDS, appear to be HIV positive, or have hepatitis C?</w:t>
      </w:r>
    </w:p>
    <w:p w:rsidR="007160F0" w:rsidRDefault="007160F0" w:rsidP="007160F0">
      <w:pPr>
        <w:tabs>
          <w:tab w:val="left" w:pos="-720"/>
        </w:tabs>
        <w:suppressAutoHyphens/>
        <w:rPr>
          <w:szCs w:val="24"/>
        </w:rPr>
      </w:pPr>
    </w:p>
    <w:p w:rsidR="0090118A" w:rsidRDefault="007160F0" w:rsidP="007160F0">
      <w:pPr>
        <w:tabs>
          <w:tab w:val="left" w:pos="-720"/>
        </w:tabs>
        <w:suppressAutoHyphens/>
      </w:pPr>
      <w:r>
        <w:rPr>
          <w:szCs w:val="24"/>
        </w:rPr>
        <w:tab/>
      </w:r>
      <w:r w:rsidRPr="008E4ADE">
        <w:rPr>
          <w:szCs w:val="24"/>
        </w:rPr>
        <w:t xml:space="preserve">Yes.  Under the ADA, it is unlawful conduct for a physician, who is otherwise qualified to treat the patient’s condition, to refuse treatment to a patient because the patient has AIDS, is HIV positive, or is perceived to have either condition. An individual is considered to have a "disability" if he or she has a physical or mental impairment that substantially limits one or more major life activities, has a record of such </w:t>
      </w:r>
      <w:proofErr w:type="gramStart"/>
      <w:r>
        <w:rPr>
          <w:szCs w:val="24"/>
        </w:rPr>
        <w:t xml:space="preserve">an </w:t>
      </w:r>
      <w:r w:rsidRPr="008E4ADE">
        <w:rPr>
          <w:szCs w:val="24"/>
        </w:rPr>
        <w:t>impairment</w:t>
      </w:r>
      <w:proofErr w:type="gramEnd"/>
      <w:r w:rsidRPr="008E4ADE">
        <w:rPr>
          <w:szCs w:val="24"/>
        </w:rPr>
        <w:t>, or is regarded as having such</w:t>
      </w:r>
      <w:r>
        <w:rPr>
          <w:szCs w:val="24"/>
        </w:rPr>
        <w:t xml:space="preserve"> an</w:t>
      </w:r>
      <w:r w:rsidRPr="008E4ADE">
        <w:rPr>
          <w:szCs w:val="24"/>
        </w:rPr>
        <w:t xml:space="preserve"> impairment.</w:t>
      </w:r>
      <w:r>
        <w:rPr>
          <w:rStyle w:val="FootnoteReference"/>
          <w:szCs w:val="24"/>
        </w:rPr>
        <w:footnoteReference w:id="9"/>
      </w:r>
      <w:r w:rsidRPr="008E4ADE">
        <w:rPr>
          <w:szCs w:val="24"/>
        </w:rPr>
        <w:t xml:space="preserve">  Persons with HIV disease, both symptomatic and asymptomatic, have physical impairments that substantially limit one or more major life activities and are, therefore, protected by the law.</w:t>
      </w:r>
      <w:r>
        <w:rPr>
          <w:rStyle w:val="FootnoteReference"/>
          <w:szCs w:val="24"/>
        </w:rPr>
        <w:footnoteReference w:id="10"/>
      </w:r>
      <w:r>
        <w:rPr>
          <w:szCs w:val="24"/>
        </w:rPr>
        <w:t xml:space="preserve">  </w:t>
      </w:r>
      <w:r w:rsidR="0090118A">
        <w:rPr>
          <w:u w:val="single"/>
        </w:rPr>
        <w:t>See</w:t>
      </w:r>
      <w:r w:rsidR="0090118A">
        <w:t xml:space="preserve"> </w:t>
      </w:r>
      <w:r w:rsidR="0090118A">
        <w:rPr>
          <w:b/>
        </w:rPr>
        <w:t>AIDS/HIV/STD</w:t>
      </w:r>
      <w:r w:rsidR="0090118A">
        <w:t xml:space="preserve"> and </w:t>
      </w:r>
      <w:r w:rsidR="0090118A">
        <w:rPr>
          <w:b/>
        </w:rPr>
        <w:t>AMERICANS WITH DISABILITIES ACT</w:t>
      </w:r>
      <w:r w:rsidR="0090118A">
        <w:t>.</w:t>
      </w:r>
    </w:p>
    <w:p w:rsidR="0090118A" w:rsidRDefault="0090118A" w:rsidP="0090118A">
      <w:pPr>
        <w:tabs>
          <w:tab w:val="left" w:pos="-720"/>
        </w:tabs>
        <w:suppressAutoHyphens/>
      </w:pPr>
    </w:p>
    <w:p w:rsidR="0090118A" w:rsidRDefault="0090118A" w:rsidP="0090118A">
      <w:pPr>
        <w:pStyle w:val="Heading2"/>
      </w:pPr>
      <w:r>
        <w:t>Under what circumstances do the laws prohibiting discrimination on the basis of national origin require physicians to provide foreign language interpreter services to patients with limited English proficiency?</w:t>
      </w:r>
    </w:p>
    <w:p w:rsidR="0090118A" w:rsidRDefault="0090118A" w:rsidP="0090118A">
      <w:pPr>
        <w:keepNext/>
        <w:keepLines/>
        <w:widowControl w:val="0"/>
      </w:pPr>
    </w:p>
    <w:p w:rsidR="0090118A" w:rsidRDefault="0090118A" w:rsidP="0090118A">
      <w:r>
        <w:tab/>
      </w:r>
      <w:r>
        <w:rPr>
          <w:u w:val="single"/>
        </w:rPr>
        <w:t>See</w:t>
      </w:r>
      <w:r>
        <w:t xml:space="preserve"> </w:t>
      </w:r>
      <w:r>
        <w:rPr>
          <w:b/>
        </w:rPr>
        <w:t>INTERPRETER SERVICES</w:t>
      </w:r>
      <w:r>
        <w:t>.</w:t>
      </w:r>
    </w:p>
    <w:p w:rsidR="0090118A" w:rsidRDefault="0090118A" w:rsidP="0090118A">
      <w:pPr>
        <w:tabs>
          <w:tab w:val="left" w:pos="-720"/>
        </w:tabs>
        <w:suppressAutoHyphens/>
      </w:pPr>
    </w:p>
    <w:p w:rsidR="0090118A" w:rsidRDefault="0090118A" w:rsidP="0090118A">
      <w:pPr>
        <w:pStyle w:val="Heading2"/>
      </w:pPr>
      <w:r>
        <w:t>Under what circumstances do the laws prohibiting discrimination require physicians to provide auxiliary aids, including qualified sign language interpreters, to patients with hearing, speech, or visual impairments?</w:t>
      </w:r>
    </w:p>
    <w:p w:rsidR="0090118A" w:rsidRDefault="0090118A" w:rsidP="0090118A"/>
    <w:p w:rsidR="0090118A" w:rsidRDefault="0090118A" w:rsidP="0090118A">
      <w:r>
        <w:tab/>
      </w:r>
      <w:r>
        <w:rPr>
          <w:u w:val="single"/>
        </w:rPr>
        <w:t>See</w:t>
      </w:r>
      <w:r>
        <w:t xml:space="preserve"> </w:t>
      </w:r>
      <w:r>
        <w:rPr>
          <w:b/>
        </w:rPr>
        <w:t>INTERPRETER SERVICES</w:t>
      </w:r>
      <w:r>
        <w:t>.</w:t>
      </w:r>
    </w:p>
    <w:p w:rsidR="0090118A" w:rsidRDefault="0090118A" w:rsidP="0090118A">
      <w:pPr>
        <w:tabs>
          <w:tab w:val="left" w:pos="-720"/>
        </w:tabs>
        <w:suppressAutoHyphens/>
      </w:pPr>
    </w:p>
    <w:p w:rsidR="0090118A" w:rsidRDefault="0090118A" w:rsidP="0090118A">
      <w:pPr>
        <w:pStyle w:val="Heading2"/>
      </w:pPr>
      <w:r>
        <w:t>Can a physician be discriminated against for refusing to perform an abortion?</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No.  A physician may not be discriminated against for refusing to perform an abortion.</w:t>
      </w:r>
      <w:r w:rsidR="00E202E9">
        <w:rPr>
          <w:rStyle w:val="FootnoteReference"/>
        </w:rPr>
        <w:footnoteReference w:id="11"/>
      </w:r>
      <w:r>
        <w:t xml:space="preserve">  </w:t>
      </w:r>
      <w:r>
        <w:rPr>
          <w:u w:val="single"/>
        </w:rPr>
        <w:t>See</w:t>
      </w:r>
      <w:r>
        <w:t xml:space="preserve"> </w:t>
      </w:r>
      <w:r>
        <w:rPr>
          <w:b/>
        </w:rPr>
        <w:t>ABORTION</w:t>
      </w:r>
      <w:r>
        <w:t>.</w:t>
      </w:r>
    </w:p>
    <w:p w:rsidR="0090118A" w:rsidRDefault="0090118A" w:rsidP="0090118A">
      <w:pPr>
        <w:tabs>
          <w:tab w:val="left" w:pos="-720"/>
        </w:tabs>
        <w:suppressAutoHyphens/>
      </w:pPr>
    </w:p>
    <w:p w:rsidR="0090118A" w:rsidRDefault="0090118A" w:rsidP="0090118A">
      <w:pPr>
        <w:pStyle w:val="Heading2"/>
      </w:pPr>
      <w:r>
        <w:t>Can a physician be discriminated against for refusing to withhold or to withdraw life sustaining treatment?</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No.  A physician may not be discriminated against for</w:t>
      </w:r>
      <w:r w:rsidR="002D0377">
        <w:t xml:space="preserve"> either participating in or </w:t>
      </w:r>
      <w:r>
        <w:t>refusing to</w:t>
      </w:r>
      <w:r w:rsidR="002D0377">
        <w:t xml:space="preserve"> participate in the</w:t>
      </w:r>
      <w:r>
        <w:t xml:space="preserve"> withhold</w:t>
      </w:r>
      <w:r w:rsidR="002D0377">
        <w:t>ing</w:t>
      </w:r>
      <w:r>
        <w:t xml:space="preserve"> or withdraw</w:t>
      </w:r>
      <w:r w:rsidR="002D0377">
        <w:t>al</w:t>
      </w:r>
      <w:r>
        <w:t xml:space="preserve"> </w:t>
      </w:r>
      <w:r w:rsidR="002D0377">
        <w:t xml:space="preserve">of </w:t>
      </w:r>
      <w:r>
        <w:t>life sustaining treatment.</w:t>
      </w:r>
      <w:r w:rsidR="004C1CCA">
        <w:rPr>
          <w:rStyle w:val="FootnoteReference"/>
        </w:rPr>
        <w:footnoteReference w:id="12"/>
      </w:r>
      <w:r>
        <w:t xml:space="preserve">  </w:t>
      </w:r>
      <w:r>
        <w:rPr>
          <w:u w:val="single"/>
        </w:rPr>
        <w:t>See</w:t>
      </w:r>
      <w:r>
        <w:t xml:space="preserve"> </w:t>
      </w:r>
      <w:r w:rsidR="007247F0">
        <w:rPr>
          <w:b/>
        </w:rPr>
        <w:t>END OF LIFE CARE DOCUMENTS</w:t>
      </w:r>
      <w:r>
        <w:t xml:space="preserve"> for the procedure to follow in refusing to comply with a patient’s living will.</w:t>
      </w:r>
    </w:p>
    <w:p w:rsidR="0090118A" w:rsidRDefault="0090118A" w:rsidP="0090118A">
      <w:pPr>
        <w:tabs>
          <w:tab w:val="left" w:pos="-720"/>
        </w:tabs>
        <w:suppressAutoHyphens/>
      </w:pPr>
    </w:p>
    <w:p w:rsidR="0090118A" w:rsidRDefault="0090118A" w:rsidP="0090118A">
      <w:pPr>
        <w:pStyle w:val="Heading2"/>
      </w:pPr>
      <w:r>
        <w:t>On what bases is an employer generally prohibited from engaging in discrimination?</w:t>
      </w:r>
    </w:p>
    <w:p w:rsidR="0090118A" w:rsidRDefault="0090118A" w:rsidP="0090118A">
      <w:pPr>
        <w:keepNext/>
        <w:keepLines/>
        <w:widowControl w:val="0"/>
        <w:tabs>
          <w:tab w:val="left" w:pos="-720"/>
        </w:tabs>
        <w:suppressAutoHyphens/>
      </w:pPr>
    </w:p>
    <w:p w:rsidR="0090118A" w:rsidRDefault="0090118A" w:rsidP="0090118A">
      <w:pPr>
        <w:keepNext/>
        <w:keepLines/>
        <w:widowControl w:val="0"/>
        <w:tabs>
          <w:tab w:val="left" w:pos="-720"/>
        </w:tabs>
        <w:suppressAutoHyphens/>
      </w:pPr>
      <w:r>
        <w:tab/>
        <w:t>Federal, state, and applicable local laws prohibit employers from basing employment decisions on the following particular individual attributes:</w:t>
      </w:r>
    </w:p>
    <w:p w:rsidR="0090118A" w:rsidRDefault="0090118A" w:rsidP="0090118A">
      <w:pPr>
        <w:keepNext/>
        <w:keepLines/>
        <w:widowControl w:val="0"/>
        <w:tabs>
          <w:tab w:val="left" w:pos="-720"/>
        </w:tabs>
        <w:suppressAutoHyphens/>
      </w:pPr>
    </w:p>
    <w:p w:rsidR="0090118A" w:rsidRDefault="0090118A" w:rsidP="0090118A">
      <w:pPr>
        <w:pStyle w:val="ListBullet"/>
      </w:pPr>
      <w:r>
        <w:t>Age.</w:t>
      </w:r>
      <w:r w:rsidR="00A200D9">
        <w:rPr>
          <w:rStyle w:val="FootnoteReference"/>
        </w:rPr>
        <w:footnoteReference w:id="13"/>
      </w:r>
    </w:p>
    <w:p w:rsidR="0090118A" w:rsidRDefault="0090118A" w:rsidP="0090118A">
      <w:pPr>
        <w:tabs>
          <w:tab w:val="left" w:pos="-720"/>
        </w:tabs>
        <w:suppressAutoHyphens/>
      </w:pPr>
    </w:p>
    <w:p w:rsidR="0090118A" w:rsidRDefault="0090118A" w:rsidP="0090118A">
      <w:pPr>
        <w:pStyle w:val="ListBullet"/>
      </w:pPr>
      <w:r>
        <w:t>Sex.</w:t>
      </w:r>
      <w:r w:rsidR="008308C1">
        <w:rPr>
          <w:rStyle w:val="FootnoteReference"/>
        </w:rPr>
        <w:footnoteReference w:id="14"/>
      </w:r>
      <w:r>
        <w:t xml:space="preserve">  </w:t>
      </w:r>
      <w:r>
        <w:rPr>
          <w:u w:val="single"/>
        </w:rPr>
        <w:t>See</w:t>
      </w:r>
      <w:r>
        <w:t xml:space="preserve"> </w:t>
      </w:r>
      <w:r>
        <w:rPr>
          <w:b/>
        </w:rPr>
        <w:t>SEXUAL HARASSMENT</w:t>
      </w:r>
      <w:r>
        <w:t>.</w:t>
      </w:r>
    </w:p>
    <w:p w:rsidR="0090118A" w:rsidRDefault="0090118A" w:rsidP="0090118A">
      <w:pPr>
        <w:tabs>
          <w:tab w:val="left" w:pos="-720"/>
        </w:tabs>
        <w:suppressAutoHyphens/>
      </w:pPr>
    </w:p>
    <w:p w:rsidR="0090118A" w:rsidRDefault="0090118A" w:rsidP="0090118A">
      <w:pPr>
        <w:pStyle w:val="ListBullet"/>
      </w:pPr>
      <w:r>
        <w:t>Race.</w:t>
      </w:r>
      <w:r w:rsidR="00753CEC">
        <w:rPr>
          <w:rStyle w:val="FootnoteReference"/>
        </w:rPr>
        <w:footnoteReference w:id="15"/>
      </w:r>
    </w:p>
    <w:p w:rsidR="0090118A" w:rsidRDefault="0090118A" w:rsidP="0090118A">
      <w:pPr>
        <w:tabs>
          <w:tab w:val="left" w:pos="-720"/>
        </w:tabs>
        <w:suppressAutoHyphens/>
      </w:pPr>
    </w:p>
    <w:p w:rsidR="0090118A" w:rsidRDefault="0090118A" w:rsidP="0090118A">
      <w:pPr>
        <w:pStyle w:val="ListBullet"/>
      </w:pPr>
      <w:r>
        <w:t>Religion.</w:t>
      </w:r>
      <w:r w:rsidR="00975C98">
        <w:rPr>
          <w:rStyle w:val="FootnoteReference"/>
        </w:rPr>
        <w:footnoteReference w:id="16"/>
      </w:r>
    </w:p>
    <w:p w:rsidR="0090118A" w:rsidRDefault="0090118A" w:rsidP="0090118A">
      <w:pPr>
        <w:tabs>
          <w:tab w:val="left" w:pos="-720"/>
        </w:tabs>
        <w:suppressAutoHyphens/>
      </w:pPr>
    </w:p>
    <w:p w:rsidR="0090118A" w:rsidRDefault="0090118A" w:rsidP="0090118A">
      <w:pPr>
        <w:pStyle w:val="ListBullet"/>
      </w:pPr>
      <w:r>
        <w:t>Creed.</w:t>
      </w:r>
      <w:r w:rsidR="00753CEC">
        <w:rPr>
          <w:rStyle w:val="FootnoteReference"/>
        </w:rPr>
        <w:footnoteReference w:id="17"/>
      </w:r>
    </w:p>
    <w:p w:rsidR="0090118A" w:rsidRDefault="0090118A" w:rsidP="0090118A">
      <w:pPr>
        <w:tabs>
          <w:tab w:val="left" w:pos="-720"/>
        </w:tabs>
        <w:suppressAutoHyphens/>
      </w:pPr>
    </w:p>
    <w:p w:rsidR="0090118A" w:rsidRDefault="0090118A" w:rsidP="0090118A">
      <w:pPr>
        <w:pStyle w:val="ListBullet"/>
      </w:pPr>
      <w:r>
        <w:t>Color.</w:t>
      </w:r>
      <w:r w:rsidR="0008366E">
        <w:rPr>
          <w:rStyle w:val="FootnoteReference"/>
        </w:rPr>
        <w:footnoteReference w:id="18"/>
      </w:r>
    </w:p>
    <w:p w:rsidR="0090118A" w:rsidRDefault="0090118A" w:rsidP="0090118A">
      <w:pPr>
        <w:tabs>
          <w:tab w:val="left" w:pos="-720"/>
        </w:tabs>
        <w:suppressAutoHyphens/>
      </w:pPr>
    </w:p>
    <w:p w:rsidR="0090118A" w:rsidRDefault="0090118A" w:rsidP="0090118A">
      <w:pPr>
        <w:pStyle w:val="ListBullet"/>
      </w:pPr>
      <w:r>
        <w:t>National origin.</w:t>
      </w:r>
      <w:r w:rsidR="007421EA">
        <w:rPr>
          <w:rStyle w:val="FootnoteReference"/>
        </w:rPr>
        <w:footnoteReference w:id="19"/>
      </w:r>
    </w:p>
    <w:p w:rsidR="0090118A" w:rsidRDefault="0090118A" w:rsidP="0090118A">
      <w:pPr>
        <w:tabs>
          <w:tab w:val="left" w:pos="-720"/>
        </w:tabs>
        <w:suppressAutoHyphens/>
      </w:pPr>
    </w:p>
    <w:p w:rsidR="0090118A" w:rsidRDefault="0090118A" w:rsidP="0090118A">
      <w:pPr>
        <w:pStyle w:val="ListBullet"/>
      </w:pPr>
      <w:r>
        <w:t>Presence of any sensory, mental, or physical handicap, or use of a trained guide dog or service animal by a disabled person.</w:t>
      </w:r>
      <w:bookmarkStart w:id="1" w:name="_GoBack"/>
      <w:r w:rsidR="001374C8">
        <w:rPr>
          <w:rStyle w:val="FootnoteReference"/>
        </w:rPr>
        <w:footnoteReference w:id="20"/>
      </w:r>
      <w:bookmarkEnd w:id="1"/>
      <w:r>
        <w:t xml:space="preserve">  </w:t>
      </w:r>
      <w:r>
        <w:rPr>
          <w:u w:val="single"/>
        </w:rPr>
        <w:t>See</w:t>
      </w:r>
      <w:r>
        <w:t xml:space="preserve"> </w:t>
      </w:r>
      <w:r>
        <w:rPr>
          <w:b/>
        </w:rPr>
        <w:t>AMERICANS WITH DISABILITIES ACT</w:t>
      </w:r>
      <w:r>
        <w:t>.</w:t>
      </w:r>
    </w:p>
    <w:p w:rsidR="0090118A" w:rsidRDefault="0090118A" w:rsidP="0090118A">
      <w:pPr>
        <w:tabs>
          <w:tab w:val="left" w:pos="-720"/>
        </w:tabs>
        <w:suppressAutoHyphens/>
      </w:pPr>
    </w:p>
    <w:p w:rsidR="0090118A" w:rsidRDefault="0090118A" w:rsidP="0090118A">
      <w:pPr>
        <w:keepNext/>
        <w:keepLines/>
        <w:widowControl w:val="0"/>
        <w:tabs>
          <w:tab w:val="left" w:pos="-720"/>
        </w:tabs>
        <w:suppressAutoHyphens/>
      </w:pPr>
      <w:r>
        <w:t>The State of Washington also prohibits employment discrimination based on:</w:t>
      </w:r>
      <w:r w:rsidR="00D97986">
        <w:rPr>
          <w:rStyle w:val="FootnoteReference"/>
        </w:rPr>
        <w:footnoteReference w:id="21"/>
      </w:r>
    </w:p>
    <w:p w:rsidR="0090118A" w:rsidRDefault="0090118A" w:rsidP="0090118A">
      <w:pPr>
        <w:keepNext/>
        <w:keepLines/>
        <w:widowControl w:val="0"/>
        <w:tabs>
          <w:tab w:val="left" w:pos="-720"/>
        </w:tabs>
        <w:suppressAutoHyphens/>
      </w:pPr>
    </w:p>
    <w:p w:rsidR="0090118A" w:rsidRDefault="0090118A" w:rsidP="0090118A">
      <w:pPr>
        <w:pStyle w:val="ListBullet"/>
      </w:pPr>
      <w:r>
        <w:t>Marital status.</w:t>
      </w:r>
      <w:r w:rsidR="007361D9">
        <w:rPr>
          <w:rStyle w:val="FootnoteReference"/>
        </w:rPr>
        <w:footnoteReference w:id="22"/>
      </w:r>
    </w:p>
    <w:p w:rsidR="0090118A" w:rsidRDefault="0090118A" w:rsidP="0090118A"/>
    <w:p w:rsidR="0090118A" w:rsidRDefault="0090118A" w:rsidP="0090118A">
      <w:pPr>
        <w:pStyle w:val="ListBullet"/>
      </w:pPr>
      <w:r>
        <w:t>Sexual orientation (including gender identity).</w:t>
      </w:r>
      <w:r w:rsidR="001C52EB">
        <w:rPr>
          <w:rStyle w:val="FootnoteReference"/>
        </w:rPr>
        <w:footnoteReference w:id="23"/>
      </w:r>
    </w:p>
    <w:p w:rsidR="00FD41A3" w:rsidRDefault="00FD41A3" w:rsidP="00FD41A3"/>
    <w:p w:rsidR="00FD41A3" w:rsidRDefault="00FD41A3" w:rsidP="00FD41A3">
      <w:pPr>
        <w:pStyle w:val="ListParagraph"/>
        <w:numPr>
          <w:ilvl w:val="0"/>
          <w:numId w:val="7"/>
        </w:numPr>
      </w:pPr>
      <w:r>
        <w:t>Honorably discharged veteran or military status.</w:t>
      </w:r>
    </w:p>
    <w:p w:rsidR="00AC63A8" w:rsidRDefault="00AC63A8" w:rsidP="00AC63A8"/>
    <w:p w:rsidR="00AC63A8" w:rsidRPr="00FD41A3" w:rsidRDefault="00AC63A8" w:rsidP="00AC63A8">
      <w:pPr>
        <w:pStyle w:val="ListParagraph"/>
        <w:numPr>
          <w:ilvl w:val="0"/>
          <w:numId w:val="7"/>
        </w:numPr>
      </w:pPr>
      <w:r>
        <w:t>HIV or Hepatitis C infection.</w:t>
      </w:r>
      <w:r w:rsidR="00853367">
        <w:rPr>
          <w:rStyle w:val="FootnoteReference"/>
        </w:rPr>
        <w:footnoteReference w:id="24"/>
      </w:r>
    </w:p>
    <w:p w:rsidR="0090118A" w:rsidRDefault="0090118A" w:rsidP="0090118A">
      <w:pPr>
        <w:tabs>
          <w:tab w:val="left" w:pos="-720"/>
        </w:tabs>
        <w:suppressAutoHyphens/>
      </w:pPr>
    </w:p>
    <w:p w:rsidR="0090118A" w:rsidRDefault="0090118A" w:rsidP="0090118A">
      <w:pPr>
        <w:keepNext/>
        <w:keepLines/>
        <w:widowControl w:val="0"/>
        <w:tabs>
          <w:tab w:val="left" w:pos="-720"/>
        </w:tabs>
        <w:suppressAutoHyphens/>
      </w:pPr>
      <w:r>
        <w:t>The City of Tacoma also prohibits employment discrimination based on:</w:t>
      </w:r>
      <w:r w:rsidR="00CA51CA">
        <w:rPr>
          <w:rStyle w:val="FootnoteReference"/>
        </w:rPr>
        <w:footnoteReference w:id="25"/>
      </w:r>
    </w:p>
    <w:p w:rsidR="0090118A" w:rsidRDefault="0090118A" w:rsidP="0090118A">
      <w:pPr>
        <w:keepNext/>
        <w:keepLines/>
        <w:widowControl w:val="0"/>
        <w:tabs>
          <w:tab w:val="left" w:pos="-720"/>
        </w:tabs>
        <w:suppressAutoHyphens/>
      </w:pPr>
    </w:p>
    <w:p w:rsidR="00871609" w:rsidRPr="0026442D" w:rsidRDefault="00286EAC" w:rsidP="00383190">
      <w:pPr>
        <w:pStyle w:val="ListBullet"/>
      </w:pPr>
      <w:r>
        <w:t xml:space="preserve">Familial status </w:t>
      </w:r>
      <w:r w:rsidR="00F1675C">
        <w:t>(</w:t>
      </w:r>
      <w:r>
        <w:t>w</w:t>
      </w:r>
      <w:r w:rsidR="0090118A">
        <w:t>hether one has children</w:t>
      </w:r>
      <w:r w:rsidR="00F1675C">
        <w:t>)</w:t>
      </w:r>
      <w:r w:rsidR="0090118A">
        <w:t>.</w:t>
      </w:r>
      <w:r w:rsidR="006777A3">
        <w:rPr>
          <w:rStyle w:val="FootnoteReference"/>
        </w:rPr>
        <w:footnoteReference w:id="26"/>
      </w:r>
    </w:p>
    <w:p w:rsidR="0090118A" w:rsidRDefault="0090118A" w:rsidP="0090118A"/>
    <w:p w:rsidR="0090118A" w:rsidRDefault="0090118A" w:rsidP="0090118A">
      <w:pPr>
        <w:pStyle w:val="ListBullet"/>
      </w:pPr>
      <w:r>
        <w:t>Sexual orientation.</w:t>
      </w:r>
    </w:p>
    <w:p w:rsidR="0090118A" w:rsidRDefault="0090118A" w:rsidP="0090118A"/>
    <w:p w:rsidR="0090118A" w:rsidRDefault="0090118A" w:rsidP="0090118A">
      <w:pPr>
        <w:pStyle w:val="ListBullet"/>
      </w:pPr>
      <w:r>
        <w:t>Gender identity.</w:t>
      </w:r>
    </w:p>
    <w:p w:rsidR="00945006" w:rsidRDefault="00945006" w:rsidP="00945006"/>
    <w:p w:rsidR="00945006" w:rsidRDefault="00945006" w:rsidP="00945006">
      <w:pPr>
        <w:pStyle w:val="ListParagraph"/>
        <w:numPr>
          <w:ilvl w:val="0"/>
          <w:numId w:val="10"/>
        </w:numPr>
      </w:pPr>
      <w:r>
        <w:t>Marital status.</w:t>
      </w:r>
    </w:p>
    <w:p w:rsidR="00785BDE" w:rsidRDefault="00785BDE" w:rsidP="00785BDE"/>
    <w:p w:rsidR="00785BDE" w:rsidRPr="00945006" w:rsidRDefault="00785BDE" w:rsidP="00785BDE">
      <w:pPr>
        <w:pStyle w:val="ListParagraph"/>
        <w:numPr>
          <w:ilvl w:val="0"/>
          <w:numId w:val="10"/>
        </w:numPr>
      </w:pPr>
      <w:r>
        <w:t>Honorably discharged veteran or military status.</w:t>
      </w:r>
    </w:p>
    <w:p w:rsidR="0090118A" w:rsidRDefault="0090118A" w:rsidP="0090118A">
      <w:pPr>
        <w:tabs>
          <w:tab w:val="left" w:pos="-720"/>
        </w:tabs>
        <w:suppressAutoHyphens/>
      </w:pPr>
    </w:p>
    <w:p w:rsidR="0090118A" w:rsidRDefault="0090118A" w:rsidP="0090118A">
      <w:pPr>
        <w:keepNext/>
        <w:keepLines/>
        <w:widowControl w:val="0"/>
        <w:tabs>
          <w:tab w:val="left" w:pos="-720"/>
        </w:tabs>
        <w:suppressAutoHyphens/>
      </w:pPr>
      <w:r>
        <w:t>The City of Seattle also prohibits employment discrimination based on:</w:t>
      </w:r>
      <w:r w:rsidR="00DC6B0A">
        <w:rPr>
          <w:rStyle w:val="FootnoteReference"/>
        </w:rPr>
        <w:footnoteReference w:id="27"/>
      </w:r>
    </w:p>
    <w:p w:rsidR="0090118A" w:rsidRDefault="0090118A" w:rsidP="0090118A">
      <w:pPr>
        <w:keepNext/>
        <w:keepLines/>
        <w:widowControl w:val="0"/>
        <w:tabs>
          <w:tab w:val="left" w:pos="-720"/>
        </w:tabs>
        <w:suppressAutoHyphens/>
      </w:pPr>
    </w:p>
    <w:p w:rsidR="00656FA0" w:rsidRDefault="00656FA0" w:rsidP="00656FA0">
      <w:pPr>
        <w:pStyle w:val="ListParagraph"/>
        <w:keepNext/>
        <w:keepLines/>
        <w:widowControl w:val="0"/>
        <w:numPr>
          <w:ilvl w:val="0"/>
          <w:numId w:val="7"/>
        </w:numPr>
        <w:tabs>
          <w:tab w:val="left" w:pos="-720"/>
        </w:tabs>
        <w:suppressAutoHyphens/>
      </w:pPr>
      <w:r>
        <w:t>Marital status.</w:t>
      </w:r>
    </w:p>
    <w:p w:rsidR="00656FA0" w:rsidRDefault="00656FA0" w:rsidP="0090118A">
      <w:pPr>
        <w:keepNext/>
        <w:keepLines/>
        <w:widowControl w:val="0"/>
        <w:tabs>
          <w:tab w:val="left" w:pos="-720"/>
        </w:tabs>
        <w:suppressAutoHyphens/>
      </w:pPr>
    </w:p>
    <w:p w:rsidR="0090118A" w:rsidRDefault="0090118A" w:rsidP="0090118A">
      <w:pPr>
        <w:pStyle w:val="ListBullet"/>
      </w:pPr>
      <w:r>
        <w:t>Sexual orientation.</w:t>
      </w:r>
    </w:p>
    <w:p w:rsidR="0090118A" w:rsidRDefault="0090118A" w:rsidP="0090118A"/>
    <w:p w:rsidR="0090118A" w:rsidRDefault="0090118A" w:rsidP="0090118A">
      <w:pPr>
        <w:pStyle w:val="ListBullet"/>
      </w:pPr>
      <w:r>
        <w:t>Gender identity.</w:t>
      </w:r>
    </w:p>
    <w:p w:rsidR="0090118A" w:rsidRDefault="0090118A" w:rsidP="0090118A">
      <w:pPr>
        <w:tabs>
          <w:tab w:val="left" w:pos="-720"/>
        </w:tabs>
        <w:suppressAutoHyphens/>
      </w:pPr>
    </w:p>
    <w:p w:rsidR="00A61C9C" w:rsidRPr="00D15B79" w:rsidRDefault="0090118A" w:rsidP="009830C2">
      <w:pPr>
        <w:pStyle w:val="ListBullet"/>
      </w:pPr>
      <w:r>
        <w:t>Political ideology.</w:t>
      </w:r>
    </w:p>
    <w:p w:rsidR="003708AB" w:rsidRDefault="003708AB" w:rsidP="003708AB"/>
    <w:p w:rsidR="003708AB" w:rsidRPr="003708AB" w:rsidRDefault="003708AB" w:rsidP="003708AB">
      <w:pPr>
        <w:pStyle w:val="ListParagraph"/>
        <w:numPr>
          <w:ilvl w:val="0"/>
          <w:numId w:val="7"/>
        </w:numPr>
      </w:pPr>
      <w:r>
        <w:t>Honorably discharged veteran or military status.</w:t>
      </w:r>
    </w:p>
    <w:p w:rsidR="005743B5" w:rsidRDefault="005743B5" w:rsidP="005743B5"/>
    <w:p w:rsidR="005743B5" w:rsidRPr="005743B5" w:rsidRDefault="005743B5" w:rsidP="005743B5">
      <w:pPr>
        <w:pStyle w:val="ListParagraph"/>
        <w:numPr>
          <w:ilvl w:val="0"/>
          <w:numId w:val="7"/>
        </w:numPr>
      </w:pPr>
      <w:r>
        <w:lastRenderedPageBreak/>
        <w:t>Genetic information.</w:t>
      </w:r>
    </w:p>
    <w:p w:rsidR="0090118A" w:rsidRDefault="0090118A" w:rsidP="0090118A"/>
    <w:p w:rsidR="00771271" w:rsidRDefault="0090118A" w:rsidP="00FD3D26">
      <w:r>
        <w:t>The City of Spokane also prohibits employment discrimination based on:</w:t>
      </w:r>
      <w:r w:rsidR="00771271">
        <w:rPr>
          <w:rStyle w:val="FootnoteReference"/>
        </w:rPr>
        <w:footnoteReference w:id="28"/>
      </w:r>
    </w:p>
    <w:p w:rsidR="0090118A" w:rsidRDefault="0090118A" w:rsidP="0090118A"/>
    <w:p w:rsidR="0090118A" w:rsidRDefault="0090118A" w:rsidP="0090118A">
      <w:pPr>
        <w:pStyle w:val="ListBullet"/>
      </w:pPr>
      <w:r>
        <w:t>Sexual orientation.</w:t>
      </w:r>
    </w:p>
    <w:p w:rsidR="0090118A" w:rsidRDefault="0090118A" w:rsidP="0090118A"/>
    <w:p w:rsidR="0090118A" w:rsidRDefault="0090118A" w:rsidP="0090118A">
      <w:pPr>
        <w:numPr>
          <w:ilvl w:val="0"/>
          <w:numId w:val="2"/>
        </w:numPr>
      </w:pPr>
      <w:r>
        <w:t>Marital status.</w:t>
      </w:r>
    </w:p>
    <w:p w:rsidR="0090118A" w:rsidRDefault="0090118A" w:rsidP="0090118A"/>
    <w:p w:rsidR="0090118A" w:rsidRDefault="0090118A" w:rsidP="0090118A">
      <w:pPr>
        <w:numPr>
          <w:ilvl w:val="0"/>
          <w:numId w:val="2"/>
        </w:numPr>
      </w:pPr>
      <w:r>
        <w:t>Familial status.</w:t>
      </w:r>
    </w:p>
    <w:p w:rsidR="0090118A" w:rsidRDefault="0090118A" w:rsidP="0090118A">
      <w:pPr>
        <w:tabs>
          <w:tab w:val="left" w:pos="-720"/>
        </w:tabs>
        <w:suppressAutoHyphens/>
      </w:pPr>
    </w:p>
    <w:p w:rsidR="0090118A" w:rsidRDefault="0090118A" w:rsidP="0090118A">
      <w:pPr>
        <w:keepNext/>
        <w:keepLines/>
        <w:widowControl w:val="0"/>
        <w:tabs>
          <w:tab w:val="left" w:pos="-720"/>
        </w:tabs>
        <w:suppressAutoHyphens/>
      </w:pPr>
      <w:r>
        <w:t>Unincorporated King County also prohibits employment discrimination based on:</w:t>
      </w:r>
      <w:r w:rsidR="007E2949">
        <w:rPr>
          <w:rStyle w:val="FootnoteReference"/>
        </w:rPr>
        <w:footnoteReference w:id="29"/>
      </w:r>
    </w:p>
    <w:p w:rsidR="0090118A" w:rsidRDefault="0090118A" w:rsidP="0090118A">
      <w:pPr>
        <w:keepNext/>
        <w:keepLines/>
        <w:widowControl w:val="0"/>
        <w:tabs>
          <w:tab w:val="left" w:pos="-720"/>
        </w:tabs>
        <w:suppressAutoHyphens/>
      </w:pPr>
    </w:p>
    <w:p w:rsidR="00E60C30" w:rsidRDefault="00E60C30" w:rsidP="00E60C30">
      <w:pPr>
        <w:pStyle w:val="ListParagraph"/>
        <w:keepNext/>
        <w:keepLines/>
        <w:widowControl w:val="0"/>
        <w:numPr>
          <w:ilvl w:val="0"/>
          <w:numId w:val="9"/>
        </w:numPr>
        <w:tabs>
          <w:tab w:val="left" w:pos="-720"/>
        </w:tabs>
        <w:suppressAutoHyphens/>
      </w:pPr>
      <w:r>
        <w:t>Marital status.</w:t>
      </w:r>
    </w:p>
    <w:p w:rsidR="00E60C30" w:rsidRDefault="00E60C30" w:rsidP="0090118A">
      <w:pPr>
        <w:keepNext/>
        <w:keepLines/>
        <w:widowControl w:val="0"/>
        <w:tabs>
          <w:tab w:val="left" w:pos="-720"/>
        </w:tabs>
        <w:suppressAutoHyphens/>
      </w:pPr>
    </w:p>
    <w:p w:rsidR="0090118A" w:rsidRDefault="0090118A" w:rsidP="00D031BD">
      <w:pPr>
        <w:pStyle w:val="ListBullet"/>
      </w:pPr>
      <w:r>
        <w:t>Sexual orientation</w:t>
      </w:r>
      <w:r w:rsidR="00BC7993">
        <w:t xml:space="preserve"> (including gender identity)</w:t>
      </w:r>
      <w:r>
        <w:t>.</w:t>
      </w:r>
    </w:p>
    <w:p w:rsidR="0090118A" w:rsidRDefault="0090118A" w:rsidP="0090118A">
      <w:pPr>
        <w:tabs>
          <w:tab w:val="left" w:pos="-720"/>
        </w:tabs>
        <w:suppressAutoHyphens/>
      </w:pPr>
    </w:p>
    <w:p w:rsidR="0090118A" w:rsidRDefault="0090118A" w:rsidP="0090118A">
      <w:pPr>
        <w:tabs>
          <w:tab w:val="left" w:pos="-720"/>
        </w:tabs>
        <w:suppressAutoHyphens/>
      </w:pPr>
      <w:r>
        <w:tab/>
        <w:t xml:space="preserve">The following conduct, if based on one or more of these particular attributes of an employee or prospective employee, can constitute employment discrimination:  </w:t>
      </w:r>
    </w:p>
    <w:p w:rsidR="0090118A" w:rsidRDefault="0090118A" w:rsidP="0090118A">
      <w:pPr>
        <w:tabs>
          <w:tab w:val="left" w:pos="-720"/>
        </w:tabs>
        <w:suppressAutoHyphens/>
      </w:pPr>
    </w:p>
    <w:p w:rsidR="0090118A" w:rsidRDefault="0090118A" w:rsidP="0090118A">
      <w:pPr>
        <w:pStyle w:val="ListBullet"/>
      </w:pPr>
      <w:r>
        <w:t>Refusing to hire the prospective employee.</w:t>
      </w:r>
      <w:r w:rsidR="006F3C50">
        <w:rPr>
          <w:rStyle w:val="FootnoteReference"/>
        </w:rPr>
        <w:footnoteReference w:id="30"/>
      </w:r>
    </w:p>
    <w:p w:rsidR="0090118A" w:rsidRDefault="0090118A" w:rsidP="0090118A">
      <w:pPr>
        <w:tabs>
          <w:tab w:val="left" w:pos="-720"/>
        </w:tabs>
        <w:suppressAutoHyphens/>
      </w:pPr>
    </w:p>
    <w:p w:rsidR="0090118A" w:rsidRDefault="0090118A" w:rsidP="0090118A">
      <w:pPr>
        <w:pStyle w:val="ListBullet"/>
      </w:pPr>
      <w:r>
        <w:t>Refusing to promote the employee.</w:t>
      </w:r>
      <w:r w:rsidR="001F61C5">
        <w:rPr>
          <w:rStyle w:val="FootnoteReference"/>
        </w:rPr>
        <w:footnoteReference w:id="31"/>
      </w:r>
    </w:p>
    <w:p w:rsidR="0090118A" w:rsidRDefault="0090118A" w:rsidP="0090118A">
      <w:pPr>
        <w:tabs>
          <w:tab w:val="left" w:pos="-720"/>
        </w:tabs>
        <w:suppressAutoHyphens/>
      </w:pPr>
    </w:p>
    <w:p w:rsidR="0090118A" w:rsidRDefault="0090118A" w:rsidP="0090118A">
      <w:pPr>
        <w:pStyle w:val="ListBullet"/>
      </w:pPr>
      <w:r>
        <w:t>Denying the employee a benefit.</w:t>
      </w:r>
      <w:r w:rsidR="00782CEA">
        <w:rPr>
          <w:rStyle w:val="FootnoteReference"/>
        </w:rPr>
        <w:footnoteReference w:id="32"/>
      </w:r>
    </w:p>
    <w:p w:rsidR="0090118A" w:rsidRDefault="0090118A" w:rsidP="0090118A">
      <w:pPr>
        <w:tabs>
          <w:tab w:val="left" w:pos="-720"/>
        </w:tabs>
        <w:suppressAutoHyphens/>
      </w:pPr>
    </w:p>
    <w:p w:rsidR="0090118A" w:rsidRDefault="0090118A" w:rsidP="0090118A">
      <w:pPr>
        <w:pStyle w:val="ListBullet"/>
      </w:pPr>
      <w:r>
        <w:t>Creating a hostile work environment for the employee.</w:t>
      </w:r>
      <w:r w:rsidR="00FC6CEB">
        <w:rPr>
          <w:rStyle w:val="FootnoteReference"/>
        </w:rPr>
        <w:footnoteReference w:id="33"/>
      </w:r>
    </w:p>
    <w:p w:rsidR="0090118A" w:rsidRDefault="0090118A" w:rsidP="0090118A">
      <w:pPr>
        <w:tabs>
          <w:tab w:val="left" w:pos="-720"/>
        </w:tabs>
        <w:suppressAutoHyphens/>
      </w:pPr>
    </w:p>
    <w:p w:rsidR="0090118A" w:rsidRDefault="0090118A" w:rsidP="0090118A">
      <w:pPr>
        <w:pStyle w:val="ListBullet"/>
      </w:pPr>
      <w:r>
        <w:t>Discharging the employee.</w:t>
      </w:r>
      <w:r w:rsidR="00EF1AE9">
        <w:rPr>
          <w:rStyle w:val="FootnoteReference"/>
        </w:rPr>
        <w:footnoteReference w:id="34"/>
      </w:r>
    </w:p>
    <w:p w:rsidR="0090118A" w:rsidRDefault="0090118A" w:rsidP="0090118A">
      <w:pPr>
        <w:tabs>
          <w:tab w:val="left" w:pos="-720"/>
        </w:tabs>
        <w:suppressAutoHyphens/>
      </w:pPr>
    </w:p>
    <w:p w:rsidR="0090118A" w:rsidRDefault="0090118A" w:rsidP="0090118A">
      <w:pPr>
        <w:pStyle w:val="ListBullet"/>
      </w:pPr>
      <w:r>
        <w:t>Taking other adverse action regarding the employee’s compensation or other terms or conditions of employment.</w:t>
      </w:r>
      <w:r w:rsidR="00A91CD4">
        <w:rPr>
          <w:rStyle w:val="FootnoteReference"/>
        </w:rPr>
        <w:footnoteReference w:id="35"/>
      </w:r>
    </w:p>
    <w:p w:rsidR="0090118A" w:rsidRDefault="0090118A" w:rsidP="0090118A">
      <w:pPr>
        <w:tabs>
          <w:tab w:val="left" w:pos="-720"/>
        </w:tabs>
        <w:suppressAutoHyphens/>
      </w:pPr>
    </w:p>
    <w:p w:rsidR="0090118A" w:rsidRDefault="0090118A" w:rsidP="0090118A">
      <w:pPr>
        <w:tabs>
          <w:tab w:val="left" w:pos="-720"/>
        </w:tabs>
        <w:suppressAutoHyphens/>
      </w:pPr>
      <w:r>
        <w:lastRenderedPageBreak/>
        <w:tab/>
        <w:t>The federal, state, and local laws governing employment discrimination set minimum standards only.  Hospitals and other businesses may have internal policies that offer their employees more protection than these laws provide.  A physician who violates these policies may be subject to discipline by the hospital or business even though the physician has not necessarily violated any laws.</w:t>
      </w:r>
    </w:p>
    <w:p w:rsidR="0090118A" w:rsidRDefault="0090118A" w:rsidP="0090118A">
      <w:pPr>
        <w:tabs>
          <w:tab w:val="left" w:pos="-720"/>
        </w:tabs>
        <w:suppressAutoHyphens/>
      </w:pPr>
    </w:p>
    <w:p w:rsidR="0090118A" w:rsidRDefault="0090118A" w:rsidP="0090118A">
      <w:pPr>
        <w:pStyle w:val="Heading2"/>
      </w:pPr>
      <w:r>
        <w:t>Can a particular individual attribute be considered by an employer in a nondiscriminatory way?</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In some circumstances, yes.  It is not unlawful to consider any of the particular individual attributes identified above in an employment decision if it can be demonstrated that the particular attribute is a bona fide occupational qualification.  This exception is narrowly applied and may be difficult to establish.</w:t>
      </w:r>
      <w:r w:rsidR="00B25B73">
        <w:rPr>
          <w:rStyle w:val="FootnoteReference"/>
        </w:rPr>
        <w:footnoteReference w:id="36"/>
      </w:r>
    </w:p>
    <w:p w:rsidR="0090118A" w:rsidRDefault="0090118A" w:rsidP="0090118A">
      <w:pPr>
        <w:tabs>
          <w:tab w:val="left" w:pos="-720"/>
        </w:tabs>
        <w:suppressAutoHyphens/>
      </w:pPr>
    </w:p>
    <w:p w:rsidR="0090118A" w:rsidRDefault="0090118A" w:rsidP="0090118A">
      <w:pPr>
        <w:pStyle w:val="Heading2"/>
      </w:pPr>
      <w:r>
        <w:t>What employers are subject to these various federal, state, and local laws against discrimination?</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Whether an employer is subject to the various anti-discrimination laws depends on the number of employees, the employer’s status as a public or private sector employer, and the geographical location of the employer’s business.</w:t>
      </w:r>
    </w:p>
    <w:p w:rsidR="0090118A" w:rsidRDefault="0090118A" w:rsidP="0090118A">
      <w:pPr>
        <w:tabs>
          <w:tab w:val="left" w:pos="-720"/>
        </w:tabs>
        <w:suppressAutoHyphens/>
      </w:pPr>
    </w:p>
    <w:p w:rsidR="0090118A" w:rsidRDefault="0090118A" w:rsidP="0090118A">
      <w:pPr>
        <w:pStyle w:val="ListBullet"/>
      </w:pPr>
      <w:r>
        <w:t>Number of employees</w:t>
      </w:r>
      <w:r w:rsidR="002F2D98">
        <w:t>:</w:t>
      </w:r>
    </w:p>
    <w:p w:rsidR="0090118A" w:rsidRDefault="0090118A" w:rsidP="0090118A">
      <w:pPr>
        <w:tabs>
          <w:tab w:val="left" w:pos="-720"/>
        </w:tabs>
        <w:suppressAutoHyphens/>
      </w:pPr>
    </w:p>
    <w:p w:rsidR="0090118A" w:rsidRDefault="0090118A" w:rsidP="0090118A">
      <w:pPr>
        <w:pStyle w:val="ListBullet2"/>
      </w:pPr>
      <w:r>
        <w:t>Most federal laws apply only to employers who have 15 or more employees.</w:t>
      </w:r>
      <w:r w:rsidR="000639E1">
        <w:rPr>
          <w:rStyle w:val="FootnoteReference"/>
        </w:rPr>
        <w:footnoteReference w:id="37"/>
      </w:r>
    </w:p>
    <w:p w:rsidR="0090118A" w:rsidRDefault="0090118A" w:rsidP="0090118A">
      <w:pPr>
        <w:tabs>
          <w:tab w:val="left" w:pos="-720"/>
        </w:tabs>
        <w:suppressAutoHyphens/>
      </w:pPr>
    </w:p>
    <w:p w:rsidR="0090118A" w:rsidRDefault="0090118A" w:rsidP="0090118A">
      <w:pPr>
        <w:pStyle w:val="ListBullet2"/>
      </w:pPr>
      <w:r>
        <w:t xml:space="preserve">Washington’s Law </w:t>
      </w:r>
      <w:proofErr w:type="gramStart"/>
      <w:r>
        <w:t>Against</w:t>
      </w:r>
      <w:proofErr w:type="gramEnd"/>
      <w:r>
        <w:t xml:space="preserve"> Discrimination technically applies only to employers who have eight or more employees,</w:t>
      </w:r>
      <w:r w:rsidR="00AE01A4">
        <w:rPr>
          <w:rStyle w:val="FootnoteReference"/>
        </w:rPr>
        <w:footnoteReference w:id="38"/>
      </w:r>
      <w:r>
        <w:t xml:space="preserve"> but Washington courts recognize a common law tort cause of action for discrimination against employers with fewer employees.</w:t>
      </w:r>
      <w:r w:rsidR="00A14096">
        <w:rPr>
          <w:rStyle w:val="FootnoteReference"/>
        </w:rPr>
        <w:footnoteReference w:id="39"/>
      </w:r>
    </w:p>
    <w:p w:rsidR="0090118A" w:rsidRDefault="0090118A" w:rsidP="0090118A">
      <w:pPr>
        <w:tabs>
          <w:tab w:val="left" w:pos="-720"/>
        </w:tabs>
        <w:suppressAutoHyphens/>
      </w:pPr>
    </w:p>
    <w:p w:rsidR="0090118A" w:rsidRDefault="0090118A" w:rsidP="0090118A">
      <w:pPr>
        <w:pStyle w:val="ListBullet2"/>
      </w:pPr>
      <w:r>
        <w:t>The Seattle Municipal Code applies to employers who have one or more employees.</w:t>
      </w:r>
      <w:r w:rsidR="008319A4">
        <w:rPr>
          <w:rStyle w:val="FootnoteReference"/>
        </w:rPr>
        <w:footnoteReference w:id="40"/>
      </w:r>
    </w:p>
    <w:p w:rsidR="0090118A" w:rsidRDefault="0090118A" w:rsidP="0090118A">
      <w:pPr>
        <w:tabs>
          <w:tab w:val="left" w:pos="-720"/>
        </w:tabs>
        <w:suppressAutoHyphens/>
      </w:pPr>
    </w:p>
    <w:p w:rsidR="0090118A" w:rsidRDefault="0090118A" w:rsidP="0090118A">
      <w:pPr>
        <w:pStyle w:val="ListBullet2"/>
      </w:pPr>
      <w:r>
        <w:t>The King County Code (which covers unincorporated King County) applies to employers with eight or more employees.</w:t>
      </w:r>
      <w:r w:rsidR="009012B7">
        <w:rPr>
          <w:rStyle w:val="FootnoteReference"/>
        </w:rPr>
        <w:footnoteReference w:id="41"/>
      </w:r>
    </w:p>
    <w:p w:rsidR="0090118A" w:rsidRDefault="0090118A" w:rsidP="0090118A">
      <w:pPr>
        <w:tabs>
          <w:tab w:val="left" w:pos="-720"/>
        </w:tabs>
        <w:suppressAutoHyphens/>
      </w:pPr>
    </w:p>
    <w:p w:rsidR="0090118A" w:rsidRDefault="0090118A" w:rsidP="0090118A">
      <w:pPr>
        <w:pStyle w:val="ListBullet2"/>
      </w:pPr>
      <w:r>
        <w:lastRenderedPageBreak/>
        <w:t xml:space="preserve">The Tacoma Municipal Code applies to employers with </w:t>
      </w:r>
      <w:r w:rsidR="006F4DA0">
        <w:t>eight</w:t>
      </w:r>
      <w:r>
        <w:t xml:space="preserve"> or more employees.</w:t>
      </w:r>
      <w:r w:rsidR="00184E8B">
        <w:rPr>
          <w:rStyle w:val="FootnoteReference"/>
        </w:rPr>
        <w:footnoteReference w:id="42"/>
      </w:r>
    </w:p>
    <w:p w:rsidR="0090118A" w:rsidRDefault="0090118A" w:rsidP="0090118A">
      <w:pPr>
        <w:pStyle w:val="ListBullet2"/>
        <w:numPr>
          <w:ilvl w:val="0"/>
          <w:numId w:val="0"/>
        </w:numPr>
        <w:ind w:left="1260"/>
      </w:pPr>
    </w:p>
    <w:p w:rsidR="0090118A" w:rsidRDefault="0090118A" w:rsidP="0090118A">
      <w:pPr>
        <w:pStyle w:val="ListBullet2"/>
      </w:pPr>
      <w:r>
        <w:t>The Spokane Municipal Code applies to employers with eight or more employees.</w:t>
      </w:r>
      <w:r w:rsidR="009A64AC">
        <w:rPr>
          <w:rStyle w:val="FootnoteReference"/>
        </w:rPr>
        <w:footnoteReference w:id="43"/>
      </w:r>
    </w:p>
    <w:p w:rsidR="0090118A" w:rsidRDefault="0090118A" w:rsidP="0090118A">
      <w:pPr>
        <w:tabs>
          <w:tab w:val="left" w:pos="-720"/>
        </w:tabs>
        <w:suppressAutoHyphens/>
      </w:pPr>
    </w:p>
    <w:p w:rsidR="0090118A" w:rsidRDefault="0090118A" w:rsidP="0090118A">
      <w:pPr>
        <w:pStyle w:val="ListBullet2"/>
      </w:pPr>
      <w:r>
        <w:t>Washington’s equal pay statute applies to any employer who employs both males and females.</w:t>
      </w:r>
      <w:r w:rsidR="00C115A2">
        <w:rPr>
          <w:rStyle w:val="FootnoteReference"/>
        </w:rPr>
        <w:footnoteReference w:id="44"/>
      </w:r>
    </w:p>
    <w:p w:rsidR="0090118A" w:rsidRDefault="0090118A" w:rsidP="0090118A">
      <w:pPr>
        <w:tabs>
          <w:tab w:val="left" w:pos="-720"/>
        </w:tabs>
        <w:suppressAutoHyphens/>
      </w:pPr>
    </w:p>
    <w:p w:rsidR="0090118A" w:rsidRDefault="0090118A" w:rsidP="0090118A">
      <w:pPr>
        <w:pStyle w:val="ListBullet"/>
        <w:rPr>
          <w:kern w:val="28"/>
        </w:rPr>
      </w:pPr>
      <w:r>
        <w:t>Public or private sector.</w:t>
      </w:r>
      <w:r>
        <w:rPr>
          <w:kern w:val="28"/>
        </w:rPr>
        <w:t xml:space="preserve">  Certain federal</w:t>
      </w:r>
      <w:r w:rsidR="00E83C1B">
        <w:rPr>
          <w:rStyle w:val="FootnoteReference"/>
          <w:kern w:val="28"/>
        </w:rPr>
        <w:footnoteReference w:id="45"/>
      </w:r>
      <w:r>
        <w:rPr>
          <w:kern w:val="28"/>
        </w:rPr>
        <w:t xml:space="preserve"> and state laws</w:t>
      </w:r>
      <w:r w:rsidR="00B43000">
        <w:rPr>
          <w:rStyle w:val="FootnoteReference"/>
          <w:kern w:val="28"/>
        </w:rPr>
        <w:footnoteReference w:id="46"/>
      </w:r>
      <w:r>
        <w:rPr>
          <w:kern w:val="28"/>
        </w:rPr>
        <w:t xml:space="preserve"> apply to public sector employers no matter how few employees they may have.  Public sector employers include the federal government and any of its agencies, departments, commissions, hospitals, or laboratories</w:t>
      </w:r>
      <w:r w:rsidR="001C5C19">
        <w:rPr>
          <w:kern w:val="28"/>
        </w:rPr>
        <w:t>;</w:t>
      </w:r>
      <w:r>
        <w:rPr>
          <w:kern w:val="28"/>
        </w:rPr>
        <w:t xml:space="preserve"> and the state government and any of its agencies, boards, departments, school districts, colleges and universities, or hospitals.</w:t>
      </w:r>
    </w:p>
    <w:p w:rsidR="0090118A" w:rsidRDefault="0090118A" w:rsidP="0090118A">
      <w:pPr>
        <w:tabs>
          <w:tab w:val="left" w:pos="-720"/>
        </w:tabs>
        <w:suppressAutoHyphens/>
      </w:pPr>
    </w:p>
    <w:p w:rsidR="0090118A" w:rsidRDefault="0090118A" w:rsidP="0090118A">
      <w:pPr>
        <w:numPr>
          <w:ilvl w:val="0"/>
          <w:numId w:val="5"/>
        </w:numPr>
        <w:tabs>
          <w:tab w:val="clear" w:pos="1440"/>
          <w:tab w:val="left" w:pos="-720"/>
          <w:tab w:val="left" w:pos="0"/>
          <w:tab w:val="left" w:pos="720"/>
          <w:tab w:val="num" w:pos="2160"/>
        </w:tabs>
        <w:suppressAutoHyphens/>
        <w:ind w:left="2160" w:hanging="480"/>
      </w:pPr>
      <w:r>
        <w:t>Certain federal laws apply to public and private employers who receive federal financial assistance.</w:t>
      </w:r>
      <w:r w:rsidR="007E1DF4">
        <w:rPr>
          <w:rStyle w:val="FootnoteReference"/>
        </w:rPr>
        <w:footnoteReference w:id="47"/>
      </w:r>
    </w:p>
    <w:p w:rsidR="0090118A" w:rsidRDefault="0090118A" w:rsidP="0090118A">
      <w:pPr>
        <w:tabs>
          <w:tab w:val="left" w:pos="-720"/>
        </w:tabs>
        <w:suppressAutoHyphens/>
      </w:pPr>
    </w:p>
    <w:p w:rsidR="0090118A" w:rsidRDefault="0090118A" w:rsidP="0090118A">
      <w:pPr>
        <w:numPr>
          <w:ilvl w:val="0"/>
          <w:numId w:val="4"/>
        </w:numPr>
        <w:tabs>
          <w:tab w:val="clear" w:pos="1440"/>
          <w:tab w:val="left" w:pos="-720"/>
          <w:tab w:val="left" w:pos="0"/>
          <w:tab w:val="left" w:pos="720"/>
          <w:tab w:val="num" w:pos="2160"/>
        </w:tabs>
        <w:suppressAutoHyphens/>
        <w:ind w:left="2160" w:hanging="480"/>
      </w:pPr>
      <w:r>
        <w:t>Private employers are subject to the law when the numerical thresholds for employees are met.</w:t>
      </w:r>
    </w:p>
    <w:p w:rsidR="0090118A" w:rsidRDefault="0090118A" w:rsidP="0090118A">
      <w:pPr>
        <w:tabs>
          <w:tab w:val="left" w:pos="-720"/>
        </w:tabs>
        <w:suppressAutoHyphens/>
      </w:pPr>
    </w:p>
    <w:p w:rsidR="0090118A" w:rsidRDefault="0090118A" w:rsidP="0090118A">
      <w:pPr>
        <w:pStyle w:val="ListBullet"/>
      </w:pPr>
      <w:r>
        <w:t>Geographical location.  The additional prohibitions imposed by unincorporated King County, the City of Seattle, the City of Tacoma, and the City of Spokane apply</w:t>
      </w:r>
      <w:r w:rsidR="00AF2CF8">
        <w:t xml:space="preserve"> respectively</w:t>
      </w:r>
      <w:r>
        <w:t xml:space="preserve"> only to employers whose businesses are located in those areas.</w:t>
      </w:r>
    </w:p>
    <w:p w:rsidR="0090118A" w:rsidRDefault="0090118A" w:rsidP="0090118A">
      <w:pPr>
        <w:tabs>
          <w:tab w:val="left" w:pos="-720"/>
        </w:tabs>
        <w:suppressAutoHyphens/>
      </w:pPr>
    </w:p>
    <w:p w:rsidR="0090118A" w:rsidRDefault="0090118A" w:rsidP="0090118A">
      <w:pPr>
        <w:pStyle w:val="Heading2"/>
      </w:pPr>
      <w:r>
        <w:t>Can a physician be personally liable for acts of employment discrimination?</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 xml:space="preserve">Yes.  Washington’s Law </w:t>
      </w:r>
      <w:proofErr w:type="gramStart"/>
      <w:r>
        <w:t>Against</w:t>
      </w:r>
      <w:proofErr w:type="gramEnd"/>
      <w:r>
        <w:t xml:space="preserve"> Discrimination</w:t>
      </w:r>
      <w:r w:rsidR="007672D7">
        <w:rPr>
          <w:rStyle w:val="FootnoteReference"/>
        </w:rPr>
        <w:footnoteReference w:id="48"/>
      </w:r>
      <w:r>
        <w:t xml:space="preserve"> and Seattle’s Municipal Code</w:t>
      </w:r>
      <w:r w:rsidR="00C71C8B">
        <w:rPr>
          <w:rStyle w:val="FootnoteReference"/>
        </w:rPr>
        <w:footnoteReference w:id="49"/>
      </w:r>
      <w:r>
        <w:t xml:space="preserve"> permit an aggrieved employee to allege discrimination by any individual person acting in the interest of an employer.  Thus, a physician in </w:t>
      </w:r>
      <w:proofErr w:type="gramStart"/>
      <w:r>
        <w:t>a supervisory, managerial, or</w:t>
      </w:r>
      <w:proofErr w:type="gramEnd"/>
      <w:r>
        <w:t xml:space="preserve"> other decision-making position may be personally liable for employment discrimination.</w:t>
      </w:r>
    </w:p>
    <w:p w:rsidR="0090118A" w:rsidRDefault="0090118A" w:rsidP="0090118A">
      <w:pPr>
        <w:tabs>
          <w:tab w:val="left" w:pos="-720"/>
        </w:tabs>
        <w:suppressAutoHyphens/>
      </w:pPr>
    </w:p>
    <w:p w:rsidR="0090118A" w:rsidRDefault="0090118A" w:rsidP="0090118A">
      <w:pPr>
        <w:pStyle w:val="Heading2"/>
      </w:pPr>
      <w:r>
        <w:lastRenderedPageBreak/>
        <w:t>Is an employee who reports an incident or files a charge of discrimination protected from retaliation?</w:t>
      </w:r>
    </w:p>
    <w:p w:rsidR="0090118A" w:rsidRDefault="0090118A" w:rsidP="0090118A">
      <w:pPr>
        <w:keepNext/>
        <w:keepLines/>
        <w:widowControl w:val="0"/>
        <w:tabs>
          <w:tab w:val="left" w:pos="-720"/>
        </w:tabs>
        <w:suppressAutoHyphens/>
      </w:pPr>
    </w:p>
    <w:p w:rsidR="0090118A" w:rsidRDefault="0090118A" w:rsidP="0090118A">
      <w:r>
        <w:tab/>
        <w:t>Yes.  It is unlawful to retaliate against anyone who, in good faith, makes a formal or an informal complaint to management or files a charge or lawsuit alleging employment discrimination.  It is also unlawful to retaliate against anyone who participates in the investigation of a complaint or charge or who testifies in any legal proceeding.</w:t>
      </w:r>
      <w:r w:rsidR="00B677D0">
        <w:rPr>
          <w:rStyle w:val="FootnoteReference"/>
        </w:rPr>
        <w:footnoteReference w:id="50"/>
      </w:r>
      <w:r>
        <w:t xml:space="preserve">  Most public and private businesses also have internal policies that prohibit retaliation.</w:t>
      </w:r>
    </w:p>
    <w:p w:rsidR="0090118A" w:rsidRDefault="0090118A" w:rsidP="0090118A"/>
    <w:sectPr w:rsidR="00901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E2A" w:rsidRDefault="00BF1E2A" w:rsidP="00A200D9">
      <w:r>
        <w:separator/>
      </w:r>
    </w:p>
  </w:endnote>
  <w:endnote w:type="continuationSeparator" w:id="0">
    <w:p w:rsidR="00BF1E2A" w:rsidRDefault="00BF1E2A" w:rsidP="00A20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E2A" w:rsidRDefault="00BF1E2A" w:rsidP="00A200D9">
      <w:r>
        <w:separator/>
      </w:r>
    </w:p>
  </w:footnote>
  <w:footnote w:type="continuationSeparator" w:id="0">
    <w:p w:rsidR="00BF1E2A" w:rsidRDefault="00BF1E2A" w:rsidP="00A200D9">
      <w:r>
        <w:continuationSeparator/>
      </w:r>
    </w:p>
  </w:footnote>
  <w:footnote w:id="1">
    <w:p w:rsidR="00BF1E2A" w:rsidRDefault="00BF1E2A">
      <w:pPr>
        <w:pStyle w:val="FootnoteText"/>
      </w:pPr>
      <w:r>
        <w:rPr>
          <w:rStyle w:val="FootnoteReference"/>
        </w:rPr>
        <w:footnoteRef/>
      </w:r>
      <w:r>
        <w:t xml:space="preserve"> See RCW 49.60.215(1); RCW 49.60.030(1</w:t>
      </w:r>
      <w:proofErr w:type="gramStart"/>
      <w:r>
        <w:t>)(</w:t>
      </w:r>
      <w:proofErr w:type="gramEnd"/>
      <w:r>
        <w:t>b)</w:t>
      </w:r>
      <w:r>
        <w:t>.</w:t>
      </w:r>
      <w:r>
        <w:t xml:space="preserve"> See also the definition at RCW 9.91.010(1</w:t>
      </w:r>
      <w:proofErr w:type="gramStart"/>
      <w:r>
        <w:t>)(</w:t>
      </w:r>
      <w:proofErr w:type="gramEnd"/>
      <w:r>
        <w:t>d).  See generally 42 U.S.C. § 1983; 42 U.S.C. § 2000a.</w:t>
      </w:r>
    </w:p>
  </w:footnote>
  <w:footnote w:id="2">
    <w:p w:rsidR="00BF1E2A" w:rsidRDefault="00BF1E2A">
      <w:pPr>
        <w:pStyle w:val="FootnoteText"/>
      </w:pPr>
      <w:r>
        <w:rPr>
          <w:rStyle w:val="FootnoteReference"/>
        </w:rPr>
        <w:footnoteRef/>
      </w:r>
      <w:r>
        <w:t xml:space="preserve"> See generally 42 U.S.C. § 12182 </w:t>
      </w:r>
      <w:r>
        <w:rPr>
          <w:i/>
        </w:rPr>
        <w:t>et seq.</w:t>
      </w:r>
      <w:r>
        <w:t>; WAC chapter 162-26.</w:t>
      </w:r>
    </w:p>
  </w:footnote>
  <w:footnote w:id="3">
    <w:p w:rsidR="00BF1E2A" w:rsidRDefault="00BF1E2A">
      <w:pPr>
        <w:pStyle w:val="FootnoteText"/>
      </w:pPr>
      <w:r>
        <w:rPr>
          <w:rStyle w:val="FootnoteReference"/>
        </w:rPr>
        <w:footnoteRef/>
      </w:r>
      <w:r>
        <w:t xml:space="preserve"> See generally WAC chapter 162-26.</w:t>
      </w:r>
    </w:p>
  </w:footnote>
  <w:footnote w:id="4">
    <w:p w:rsidR="00BF1E2A" w:rsidRDefault="00BF1E2A" w:rsidP="00EC062E">
      <w:pPr>
        <w:pStyle w:val="FootnoteText"/>
      </w:pPr>
      <w:r>
        <w:rPr>
          <w:rStyle w:val="FootnoteReference"/>
        </w:rPr>
        <w:footnoteRef/>
      </w:r>
      <w:r>
        <w:t xml:space="preserve"> See RCW 49.60.030(1); RCW 49.60.215(1).</w:t>
      </w:r>
    </w:p>
  </w:footnote>
  <w:footnote w:id="5">
    <w:p w:rsidR="00BF1E2A" w:rsidRDefault="00BF1E2A">
      <w:pPr>
        <w:pStyle w:val="FootnoteText"/>
      </w:pPr>
      <w:r>
        <w:rPr>
          <w:rStyle w:val="FootnoteReference"/>
        </w:rPr>
        <w:footnoteRef/>
      </w:r>
      <w:r>
        <w:t xml:space="preserve"> </w:t>
      </w:r>
      <w:proofErr w:type="gramStart"/>
      <w:r>
        <w:t>See, e.g., WAC 162-26-070 (disability).</w:t>
      </w:r>
      <w:proofErr w:type="gramEnd"/>
      <w:r>
        <w:t xml:space="preserve">  See generally RCW 49.60.215(1).</w:t>
      </w:r>
    </w:p>
  </w:footnote>
  <w:footnote w:id="6">
    <w:p w:rsidR="00BF1E2A" w:rsidRDefault="00BF1E2A">
      <w:pPr>
        <w:pStyle w:val="FootnoteText"/>
      </w:pPr>
      <w:r>
        <w:rPr>
          <w:rStyle w:val="FootnoteReference"/>
        </w:rPr>
        <w:footnoteRef/>
      </w:r>
      <w:r>
        <w:t xml:space="preserve"> See RCW 49.60.030(1</w:t>
      </w:r>
      <w:proofErr w:type="gramStart"/>
      <w:r>
        <w:t>)(</w:t>
      </w:r>
      <w:proofErr w:type="gramEnd"/>
      <w:r>
        <w:t>b)</w:t>
      </w:r>
      <w:r>
        <w:t xml:space="preserve">; </w:t>
      </w:r>
      <w:r>
        <w:t>RCW 49.60.040(2)</w:t>
      </w:r>
      <w:r>
        <w:t xml:space="preserve">; </w:t>
      </w:r>
      <w:r>
        <w:t>RCW 9.91.010(1)(d).</w:t>
      </w:r>
    </w:p>
  </w:footnote>
  <w:footnote w:id="7">
    <w:p w:rsidR="00BF1E2A" w:rsidRDefault="00BF1E2A">
      <w:pPr>
        <w:pStyle w:val="FootnoteText"/>
      </w:pPr>
      <w:r>
        <w:rPr>
          <w:rStyle w:val="FootnoteReference"/>
        </w:rPr>
        <w:footnoteRef/>
      </w:r>
      <w:r>
        <w:t xml:space="preserve"> See RCW 49.60.030(2).</w:t>
      </w:r>
    </w:p>
  </w:footnote>
  <w:footnote w:id="8">
    <w:p w:rsidR="00BF1E2A" w:rsidRDefault="00BF1E2A">
      <w:pPr>
        <w:pStyle w:val="FootnoteText"/>
      </w:pPr>
      <w:r>
        <w:rPr>
          <w:rStyle w:val="FootnoteReference"/>
        </w:rPr>
        <w:footnoteRef/>
      </w:r>
      <w:r>
        <w:t xml:space="preserve"> See RCW 9.91.010(2).</w:t>
      </w:r>
    </w:p>
  </w:footnote>
  <w:footnote w:id="9">
    <w:p w:rsidR="00BF1E2A" w:rsidRPr="00FD61C9" w:rsidRDefault="00BF1E2A" w:rsidP="007160F0">
      <w:pPr>
        <w:pStyle w:val="FootnoteText"/>
      </w:pPr>
      <w:r w:rsidRPr="00FD61C9">
        <w:rPr>
          <w:rStyle w:val="FootnoteReference"/>
        </w:rPr>
        <w:footnoteRef/>
      </w:r>
      <w:r>
        <w:t xml:space="preserve"> </w:t>
      </w:r>
      <w:proofErr w:type="gramStart"/>
      <w:r>
        <w:t>28 C.F.R. § 35.104</w:t>
      </w:r>
      <w:r w:rsidRPr="00FD61C9">
        <w:t>.</w:t>
      </w:r>
      <w:proofErr w:type="gramEnd"/>
    </w:p>
  </w:footnote>
  <w:footnote w:id="10">
    <w:p w:rsidR="00BF1E2A" w:rsidRPr="00FD61C9" w:rsidRDefault="00BF1E2A" w:rsidP="007160F0">
      <w:pPr>
        <w:pStyle w:val="FootnoteText"/>
      </w:pPr>
      <w:r w:rsidRPr="00FD61C9">
        <w:rPr>
          <w:rStyle w:val="FootnoteReference"/>
        </w:rPr>
        <w:footnoteRef/>
      </w:r>
      <w:r w:rsidRPr="00FD61C9">
        <w:t xml:space="preserve"> </w:t>
      </w:r>
      <w:r w:rsidRPr="00FD61C9">
        <w:rPr>
          <w:i/>
        </w:rPr>
        <w:t>Id</w:t>
      </w:r>
      <w:r w:rsidRPr="00FD61C9">
        <w:t>.</w:t>
      </w:r>
    </w:p>
  </w:footnote>
  <w:footnote w:id="11">
    <w:p w:rsidR="00BF1E2A" w:rsidRDefault="00BF1E2A">
      <w:pPr>
        <w:pStyle w:val="FootnoteText"/>
      </w:pPr>
      <w:r>
        <w:rPr>
          <w:rStyle w:val="FootnoteReference"/>
        </w:rPr>
        <w:footnoteRef/>
      </w:r>
      <w:r>
        <w:t xml:space="preserve"> See RCW 9.02.150.</w:t>
      </w:r>
    </w:p>
  </w:footnote>
  <w:footnote w:id="12">
    <w:p w:rsidR="00BF1E2A" w:rsidRDefault="00BF1E2A">
      <w:pPr>
        <w:pStyle w:val="FootnoteText"/>
      </w:pPr>
      <w:r>
        <w:rPr>
          <w:rStyle w:val="FootnoteReference"/>
        </w:rPr>
        <w:footnoteRef/>
      </w:r>
      <w:r>
        <w:t xml:space="preserve"> </w:t>
      </w:r>
      <w:proofErr w:type="gramStart"/>
      <w:r>
        <w:t>RCW 70.122.060(4).</w:t>
      </w:r>
      <w:proofErr w:type="gramEnd"/>
    </w:p>
  </w:footnote>
  <w:footnote w:id="13">
    <w:p w:rsidR="00BF1E2A" w:rsidRPr="00955467" w:rsidRDefault="00BF1E2A">
      <w:pPr>
        <w:pStyle w:val="FootnoteText"/>
      </w:pPr>
      <w:r>
        <w:rPr>
          <w:rStyle w:val="FootnoteReference"/>
        </w:rPr>
        <w:footnoteRef/>
      </w:r>
      <w:r>
        <w:t xml:space="preserve"> See RCW 49.60.180; RCW 49.44.090(1).  </w:t>
      </w:r>
      <w:proofErr w:type="gramStart"/>
      <w:r>
        <w:t>29 U.S.C. § 623.</w:t>
      </w:r>
      <w:proofErr w:type="gramEnd"/>
      <w:r>
        <w:t xml:space="preserve"> </w:t>
      </w:r>
      <w:r>
        <w:t xml:space="preserve">See also WAC chapter 162-20.  See generally 29 U.S.C. § 621 </w:t>
      </w:r>
      <w:r>
        <w:rPr>
          <w:i/>
        </w:rPr>
        <w:t>et seq</w:t>
      </w:r>
      <w:r>
        <w:t>.</w:t>
      </w:r>
    </w:p>
  </w:footnote>
  <w:footnote w:id="14">
    <w:p w:rsidR="00BF1E2A" w:rsidRDefault="00BF1E2A">
      <w:pPr>
        <w:pStyle w:val="FootnoteText"/>
      </w:pPr>
      <w:r>
        <w:rPr>
          <w:rStyle w:val="FootnoteReference"/>
        </w:rPr>
        <w:footnoteRef/>
      </w:r>
      <w:r>
        <w:t xml:space="preserve"> See 42 U.S.C. § 2000e-2(a); RCW 49.60.180.  See also 29 U.S.C. § 206(d) and RCW 49.12.175; WAC 162-30-020.</w:t>
      </w:r>
    </w:p>
  </w:footnote>
  <w:footnote w:id="15">
    <w:p w:rsidR="00BF1E2A" w:rsidRDefault="00BF1E2A">
      <w:pPr>
        <w:pStyle w:val="FootnoteText"/>
      </w:pPr>
      <w:r>
        <w:rPr>
          <w:rStyle w:val="FootnoteReference"/>
        </w:rPr>
        <w:footnoteRef/>
      </w:r>
      <w:r>
        <w:t xml:space="preserve"> See 42 U.S.C. § 2000e-2(a); RCW 49.60.180.</w:t>
      </w:r>
    </w:p>
  </w:footnote>
  <w:footnote w:id="16">
    <w:p w:rsidR="00BF1E2A" w:rsidRDefault="00BF1E2A">
      <w:pPr>
        <w:pStyle w:val="FootnoteText"/>
      </w:pPr>
      <w:r>
        <w:rPr>
          <w:rStyle w:val="FootnoteReference"/>
        </w:rPr>
        <w:footnoteRef/>
      </w:r>
      <w:r>
        <w:t xml:space="preserve"> See 42 U.S.C. § 2000e-2(a).  See also Tacoma Municipal Code 1.29.050; Seattle Municipal Code 14.04.040; Spokane Municipal Code 01.06.010; 01.06.080; King County Code 12.18.010; 12.18.030.</w:t>
      </w:r>
    </w:p>
  </w:footnote>
  <w:footnote w:id="17">
    <w:p w:rsidR="00BF1E2A" w:rsidRDefault="00BF1E2A">
      <w:pPr>
        <w:pStyle w:val="FootnoteText"/>
      </w:pPr>
      <w:r>
        <w:rPr>
          <w:rStyle w:val="FootnoteReference"/>
        </w:rPr>
        <w:footnoteRef/>
      </w:r>
      <w:r>
        <w:t xml:space="preserve"> See RCW 49.60.180.</w:t>
      </w:r>
    </w:p>
  </w:footnote>
  <w:footnote w:id="18">
    <w:p w:rsidR="00BF1E2A" w:rsidRDefault="00BF1E2A">
      <w:pPr>
        <w:pStyle w:val="FootnoteText"/>
      </w:pPr>
      <w:r>
        <w:rPr>
          <w:rStyle w:val="FootnoteReference"/>
        </w:rPr>
        <w:footnoteRef/>
      </w:r>
      <w:r>
        <w:t xml:space="preserve"> See 42 U.S.C. § 2000e-2(a); RCW 49.60.180.</w:t>
      </w:r>
    </w:p>
  </w:footnote>
  <w:footnote w:id="19">
    <w:p w:rsidR="00BF1E2A" w:rsidRDefault="00BF1E2A">
      <w:pPr>
        <w:pStyle w:val="FootnoteText"/>
      </w:pPr>
      <w:r>
        <w:rPr>
          <w:rStyle w:val="FootnoteReference"/>
        </w:rPr>
        <w:footnoteRef/>
      </w:r>
      <w:r>
        <w:t xml:space="preserve"> See 42 U.S.C. § 2000e-2(a); RCW 49.60.180.</w:t>
      </w:r>
    </w:p>
  </w:footnote>
  <w:footnote w:id="20">
    <w:p w:rsidR="00BF1E2A" w:rsidRDefault="00BF1E2A">
      <w:pPr>
        <w:pStyle w:val="FootnoteText"/>
      </w:pPr>
      <w:r>
        <w:rPr>
          <w:rStyle w:val="FootnoteReference"/>
        </w:rPr>
        <w:footnoteRef/>
      </w:r>
      <w:r>
        <w:t xml:space="preserve"> See RCW 49.60.180; WAC 162-22-025</w:t>
      </w:r>
      <w:proofErr w:type="gramStart"/>
      <w:r>
        <w:t>;</w:t>
      </w:r>
      <w:r>
        <w:t xml:space="preserve">  See</w:t>
      </w:r>
      <w:proofErr w:type="gramEnd"/>
      <w:r>
        <w:t xml:space="preserve"> also WAC 162-22-035; WAC 162-22-075; 29 U.S.C. § 793</w:t>
      </w:r>
      <w:r>
        <w:t>(a)</w:t>
      </w:r>
      <w:r>
        <w:t>.</w:t>
      </w:r>
    </w:p>
  </w:footnote>
  <w:footnote w:id="21">
    <w:p w:rsidR="00BF1E2A" w:rsidRDefault="00BF1E2A">
      <w:pPr>
        <w:pStyle w:val="FootnoteText"/>
      </w:pPr>
      <w:r>
        <w:rPr>
          <w:rStyle w:val="FootnoteReference"/>
        </w:rPr>
        <w:footnoteRef/>
      </w:r>
      <w:r>
        <w:t xml:space="preserve"> See RCW 49.60.180.</w:t>
      </w:r>
    </w:p>
  </w:footnote>
  <w:footnote w:id="22">
    <w:p w:rsidR="00BF1E2A" w:rsidRDefault="00BF1E2A">
      <w:pPr>
        <w:pStyle w:val="FootnoteText"/>
      </w:pPr>
      <w:r>
        <w:rPr>
          <w:rStyle w:val="FootnoteReference"/>
        </w:rPr>
        <w:footnoteRef/>
      </w:r>
      <w:r>
        <w:t xml:space="preserve"> See WAC 162-16-250; RCW 49.60.180.</w:t>
      </w:r>
    </w:p>
  </w:footnote>
  <w:footnote w:id="23">
    <w:p w:rsidR="00BF1E2A" w:rsidRDefault="00BF1E2A">
      <w:pPr>
        <w:pStyle w:val="FootnoteText"/>
      </w:pPr>
      <w:r>
        <w:rPr>
          <w:rStyle w:val="FootnoteReference"/>
        </w:rPr>
        <w:footnoteRef/>
      </w:r>
      <w:r>
        <w:t xml:space="preserve"> </w:t>
      </w:r>
      <w:proofErr w:type="gramStart"/>
      <w:r>
        <w:t xml:space="preserve">RCW 49.60.180; </w:t>
      </w:r>
      <w:r>
        <w:t>RCW 49.60.040(26).</w:t>
      </w:r>
      <w:proofErr w:type="gramEnd"/>
    </w:p>
  </w:footnote>
  <w:footnote w:id="24">
    <w:p w:rsidR="00BF1E2A" w:rsidRDefault="00BF1E2A">
      <w:pPr>
        <w:pStyle w:val="FootnoteText"/>
      </w:pPr>
      <w:r>
        <w:rPr>
          <w:rStyle w:val="FootnoteReference"/>
        </w:rPr>
        <w:footnoteRef/>
      </w:r>
      <w:r>
        <w:t xml:space="preserve"> See RCW 49.60.172.</w:t>
      </w:r>
    </w:p>
  </w:footnote>
  <w:footnote w:id="25">
    <w:p w:rsidR="00BF1E2A" w:rsidRDefault="00BF1E2A">
      <w:pPr>
        <w:pStyle w:val="FootnoteText"/>
      </w:pPr>
      <w:r>
        <w:rPr>
          <w:rStyle w:val="FootnoteReference"/>
        </w:rPr>
        <w:footnoteRef/>
      </w:r>
      <w:r>
        <w:t xml:space="preserve"> See Tacoma Municipal Code 1.29.050.</w:t>
      </w:r>
    </w:p>
  </w:footnote>
  <w:footnote w:id="26">
    <w:p w:rsidR="00BF1E2A" w:rsidRDefault="00BF1E2A">
      <w:pPr>
        <w:pStyle w:val="FootnoteText"/>
      </w:pPr>
      <w:r>
        <w:rPr>
          <w:rStyle w:val="FootnoteReference"/>
        </w:rPr>
        <w:footnoteRef/>
      </w:r>
      <w:r>
        <w:t xml:space="preserve"> See Tacoma Municipal Code 1.29.040 (defining “familial status”).</w:t>
      </w:r>
    </w:p>
  </w:footnote>
  <w:footnote w:id="27">
    <w:p w:rsidR="00BF1E2A" w:rsidRDefault="00BF1E2A">
      <w:pPr>
        <w:pStyle w:val="FootnoteText"/>
      </w:pPr>
      <w:r>
        <w:rPr>
          <w:rStyle w:val="FootnoteReference"/>
        </w:rPr>
        <w:footnoteRef/>
      </w:r>
      <w:r>
        <w:t xml:space="preserve"> See Seattle Municipal Code 14.04.040.</w:t>
      </w:r>
    </w:p>
  </w:footnote>
  <w:footnote w:id="28">
    <w:p w:rsidR="00BF1E2A" w:rsidRDefault="00BF1E2A">
      <w:pPr>
        <w:pStyle w:val="FootnoteText"/>
      </w:pPr>
      <w:r>
        <w:rPr>
          <w:rStyle w:val="FootnoteReference"/>
        </w:rPr>
        <w:footnoteRef/>
      </w:r>
      <w:r>
        <w:t xml:space="preserve"> See Spokane Municipal Code 01.06.010; 01.06.080.</w:t>
      </w:r>
    </w:p>
  </w:footnote>
  <w:footnote w:id="29">
    <w:p w:rsidR="00BF1E2A" w:rsidRDefault="00BF1E2A">
      <w:pPr>
        <w:pStyle w:val="FootnoteText"/>
      </w:pPr>
      <w:r>
        <w:rPr>
          <w:rStyle w:val="FootnoteReference"/>
        </w:rPr>
        <w:footnoteRef/>
      </w:r>
      <w:r>
        <w:t xml:space="preserve"> </w:t>
      </w:r>
      <w:proofErr w:type="gramStart"/>
      <w:r>
        <w:t>See King County Code 12.18.010; 12.18.030.</w:t>
      </w:r>
      <w:proofErr w:type="gramEnd"/>
    </w:p>
  </w:footnote>
  <w:footnote w:id="30">
    <w:p w:rsidR="00BF1E2A" w:rsidRDefault="00BF1E2A">
      <w:pPr>
        <w:pStyle w:val="FootnoteText"/>
      </w:pPr>
      <w:r>
        <w:rPr>
          <w:rStyle w:val="FootnoteReference"/>
        </w:rPr>
        <w:footnoteRef/>
      </w:r>
      <w:r>
        <w:t xml:space="preserve"> See RCW 49.60.180(1).  See also, e.g., RCW 49.44.090(1); WAC 162-30-020(3</w:t>
      </w:r>
      <w:proofErr w:type="gramStart"/>
      <w:r>
        <w:t>)(</w:t>
      </w:r>
      <w:proofErr w:type="gramEnd"/>
      <w:r>
        <w:t>a)(</w:t>
      </w:r>
      <w:proofErr w:type="spellStart"/>
      <w:r>
        <w:t>i</w:t>
      </w:r>
      <w:proofErr w:type="spellEnd"/>
      <w:r>
        <w:t>).</w:t>
      </w:r>
    </w:p>
  </w:footnote>
  <w:footnote w:id="31">
    <w:p w:rsidR="00BF1E2A" w:rsidRDefault="00BF1E2A">
      <w:pPr>
        <w:pStyle w:val="FootnoteText"/>
      </w:pPr>
      <w:r>
        <w:rPr>
          <w:rStyle w:val="FootnoteReference"/>
        </w:rPr>
        <w:footnoteRef/>
      </w:r>
      <w:r>
        <w:t xml:space="preserve"> See RCW 49.60.180(3).  See also, e.g., RCW 49.44.090(1); WAC 162-30-020(3</w:t>
      </w:r>
      <w:proofErr w:type="gramStart"/>
      <w:r>
        <w:t>)(</w:t>
      </w:r>
      <w:proofErr w:type="gramEnd"/>
      <w:r>
        <w:t>a)(</w:t>
      </w:r>
      <w:proofErr w:type="spellStart"/>
      <w:r>
        <w:t>i</w:t>
      </w:r>
      <w:proofErr w:type="spellEnd"/>
      <w:r>
        <w:t>).</w:t>
      </w:r>
    </w:p>
  </w:footnote>
  <w:footnote w:id="32">
    <w:p w:rsidR="00BF1E2A" w:rsidRDefault="00BF1E2A">
      <w:pPr>
        <w:pStyle w:val="FootnoteText"/>
      </w:pPr>
      <w:r>
        <w:rPr>
          <w:rStyle w:val="FootnoteReference"/>
        </w:rPr>
        <w:footnoteRef/>
      </w:r>
      <w:r>
        <w:t xml:space="preserve"> See RCW 49.60.180(3).  See also, e.g., RCW 49.44.090(1).</w:t>
      </w:r>
    </w:p>
  </w:footnote>
  <w:footnote w:id="33">
    <w:p w:rsidR="00BF1E2A" w:rsidRDefault="00BF1E2A">
      <w:pPr>
        <w:pStyle w:val="FootnoteText"/>
      </w:pPr>
      <w:r>
        <w:rPr>
          <w:rStyle w:val="FootnoteReference"/>
        </w:rPr>
        <w:footnoteRef/>
      </w:r>
      <w:r>
        <w:t xml:space="preserve"> </w:t>
      </w:r>
      <w:proofErr w:type="gramStart"/>
      <w:r>
        <w:t>29 C.F.R.1604.</w:t>
      </w:r>
      <w:proofErr w:type="gramEnd"/>
    </w:p>
  </w:footnote>
  <w:footnote w:id="34">
    <w:p w:rsidR="00BF1E2A" w:rsidRDefault="00BF1E2A">
      <w:pPr>
        <w:pStyle w:val="FootnoteText"/>
      </w:pPr>
      <w:r>
        <w:rPr>
          <w:rStyle w:val="FootnoteReference"/>
        </w:rPr>
        <w:footnoteRef/>
      </w:r>
      <w:r>
        <w:t xml:space="preserve"> See RCW 49.60.180(2).  See also, e.g., RCW 49.44.090(1) (age discrimination); WAC 162-30-020(3</w:t>
      </w:r>
      <w:proofErr w:type="gramStart"/>
      <w:r>
        <w:t>)(</w:t>
      </w:r>
      <w:proofErr w:type="gramEnd"/>
      <w:r>
        <w:t>a)(</w:t>
      </w:r>
      <w:proofErr w:type="spellStart"/>
      <w:r>
        <w:t>i</w:t>
      </w:r>
      <w:proofErr w:type="spellEnd"/>
      <w:r>
        <w:t>) (pregnancy and childbirth discrimination).</w:t>
      </w:r>
    </w:p>
  </w:footnote>
  <w:footnote w:id="35">
    <w:p w:rsidR="00BF1E2A" w:rsidRDefault="00BF1E2A">
      <w:pPr>
        <w:pStyle w:val="FootnoteText"/>
      </w:pPr>
      <w:r>
        <w:rPr>
          <w:rStyle w:val="FootnoteReference"/>
        </w:rPr>
        <w:footnoteRef/>
      </w:r>
      <w:r>
        <w:t xml:space="preserve"> See RCW 49.60.180(3).  See also, e.g., RCW 49.44.090(1) (age discrimination); WAC 162-30-020(3</w:t>
      </w:r>
      <w:proofErr w:type="gramStart"/>
      <w:r>
        <w:t>)(</w:t>
      </w:r>
      <w:proofErr w:type="gramEnd"/>
      <w:r>
        <w:t>a)(</w:t>
      </w:r>
      <w:proofErr w:type="spellStart"/>
      <w:r>
        <w:t>i</w:t>
      </w:r>
      <w:proofErr w:type="spellEnd"/>
      <w:r>
        <w:t>) (pregnancy and childbirth discrimination).</w:t>
      </w:r>
    </w:p>
  </w:footnote>
  <w:footnote w:id="36">
    <w:p w:rsidR="00BF1E2A" w:rsidRDefault="00BF1E2A">
      <w:pPr>
        <w:pStyle w:val="FootnoteText"/>
      </w:pPr>
      <w:r>
        <w:rPr>
          <w:rStyle w:val="FootnoteReference"/>
        </w:rPr>
        <w:footnoteRef/>
      </w:r>
      <w:r>
        <w:t xml:space="preserve"> See 42 U.S.C. § 2000e-2(e); WAC 162-16-240; RCW 49.60.180(1), (4) (establishing exceptions for bona fide occupational qualifications).  See also, e.g., RCW 49.44.090(1) (reasonable age limits vis-à-vis a job’s physical demands); WAC 162-22-045 (employment for handicapped persons); Seattle Municipal Code 14.04.050 (exclusions from unfair practices); Spokane Municipal Code 01.06.070 (exemptions).</w:t>
      </w:r>
    </w:p>
  </w:footnote>
  <w:footnote w:id="37">
    <w:p w:rsidR="00BF1E2A" w:rsidRDefault="00BF1E2A">
      <w:pPr>
        <w:pStyle w:val="FootnoteText"/>
      </w:pPr>
      <w:r>
        <w:rPr>
          <w:rStyle w:val="FootnoteReference"/>
        </w:rPr>
        <w:footnoteRef/>
      </w:r>
      <w:r>
        <w:t xml:space="preserve"> See 42 U.S.C. § </w:t>
      </w:r>
      <w:proofErr w:type="gramStart"/>
      <w:r>
        <w:t>2000e(</w:t>
      </w:r>
      <w:proofErr w:type="gramEnd"/>
      <w:r>
        <w:t>b).</w:t>
      </w:r>
    </w:p>
  </w:footnote>
  <w:footnote w:id="38">
    <w:p w:rsidR="00BF1E2A" w:rsidRDefault="00BF1E2A">
      <w:pPr>
        <w:pStyle w:val="FootnoteText"/>
      </w:pPr>
      <w:r>
        <w:rPr>
          <w:rStyle w:val="FootnoteReference"/>
        </w:rPr>
        <w:footnoteRef/>
      </w:r>
      <w:r>
        <w:t xml:space="preserve"> See RCW 49.60.040(11) (defining “employer” as one who employs eight or more persons); WAC 162-16-200(3).</w:t>
      </w:r>
    </w:p>
  </w:footnote>
  <w:footnote w:id="39">
    <w:p w:rsidR="00BF1E2A" w:rsidRDefault="00BF1E2A">
      <w:pPr>
        <w:pStyle w:val="FootnoteText"/>
      </w:pPr>
      <w:r>
        <w:rPr>
          <w:rStyle w:val="FootnoteReference"/>
        </w:rPr>
        <w:footnoteRef/>
      </w:r>
      <w:r>
        <w:t xml:space="preserve"> See Roberts v. Dudley, </w:t>
      </w:r>
      <w:proofErr w:type="gramStart"/>
      <w:r>
        <w:t>140 Wn.2d 58, 72–73 (2000)</w:t>
      </w:r>
      <w:proofErr w:type="gramEnd"/>
      <w:r>
        <w:t>.</w:t>
      </w:r>
    </w:p>
  </w:footnote>
  <w:footnote w:id="40">
    <w:p w:rsidR="00BF1E2A" w:rsidRDefault="00BF1E2A">
      <w:pPr>
        <w:pStyle w:val="FootnoteText"/>
      </w:pPr>
      <w:r>
        <w:rPr>
          <w:rStyle w:val="FootnoteReference"/>
        </w:rPr>
        <w:footnoteRef/>
      </w:r>
      <w:r>
        <w:t xml:space="preserve"> See Seattle Municipal Code 14.04.020(C) (application to both private employers and the City); 14.04.030(K) (defining “employer” as “any person who has one or more employees”).</w:t>
      </w:r>
    </w:p>
  </w:footnote>
  <w:footnote w:id="41">
    <w:p w:rsidR="00BF1E2A" w:rsidRDefault="00BF1E2A">
      <w:pPr>
        <w:pStyle w:val="FootnoteText"/>
      </w:pPr>
      <w:r>
        <w:rPr>
          <w:rStyle w:val="FootnoteReference"/>
        </w:rPr>
        <w:footnoteRef/>
      </w:r>
      <w:r>
        <w:t xml:space="preserve"> </w:t>
      </w:r>
      <w:proofErr w:type="gramStart"/>
      <w:r>
        <w:t>See King County Code 12.18.013 (application to employers in unincorporated King County); 12.18.020(G) (defining “employer” as any person who employs eight or more persons in unincorporated King County).</w:t>
      </w:r>
      <w:proofErr w:type="gramEnd"/>
    </w:p>
  </w:footnote>
  <w:footnote w:id="42">
    <w:p w:rsidR="00BF1E2A" w:rsidRDefault="00BF1E2A">
      <w:pPr>
        <w:pStyle w:val="FootnoteText"/>
      </w:pPr>
      <w:r>
        <w:rPr>
          <w:rStyle w:val="FootnoteReference"/>
        </w:rPr>
        <w:footnoteRef/>
      </w:r>
      <w:r>
        <w:t xml:space="preserve"> See Tacoma Municipal Code 1.29.040 (adopting the current definition of “employer” at RCW 49.60.040).  RCW 49.60.040(11) defines “employer” as one who employs eight or more persons.</w:t>
      </w:r>
    </w:p>
  </w:footnote>
  <w:footnote w:id="43">
    <w:p w:rsidR="00BF1E2A" w:rsidRDefault="00BF1E2A">
      <w:pPr>
        <w:pStyle w:val="FootnoteText"/>
      </w:pPr>
      <w:r>
        <w:rPr>
          <w:rStyle w:val="FootnoteReference"/>
        </w:rPr>
        <w:footnoteRef/>
      </w:r>
      <w:r>
        <w:t xml:space="preserve"> See Spokane Municipal Code 01.06.030(E) (defining “employer”).</w:t>
      </w:r>
    </w:p>
  </w:footnote>
  <w:footnote w:id="44">
    <w:p w:rsidR="00BF1E2A" w:rsidRDefault="00BF1E2A">
      <w:pPr>
        <w:pStyle w:val="FootnoteText"/>
      </w:pPr>
      <w:r>
        <w:rPr>
          <w:rStyle w:val="FootnoteReference"/>
        </w:rPr>
        <w:footnoteRef/>
      </w:r>
      <w:r>
        <w:t xml:space="preserve"> See RCW 49.12.175.</w:t>
      </w:r>
    </w:p>
  </w:footnote>
  <w:footnote w:id="45">
    <w:p w:rsidR="00BF1E2A" w:rsidRDefault="00BF1E2A">
      <w:pPr>
        <w:pStyle w:val="FootnoteText"/>
      </w:pPr>
      <w:r>
        <w:rPr>
          <w:rStyle w:val="FootnoteReference"/>
        </w:rPr>
        <w:footnoteRef/>
      </w:r>
      <w:r>
        <w:t xml:space="preserve"> </w:t>
      </w:r>
      <w:proofErr w:type="gramStart"/>
      <w:r>
        <w:t>See, e.g., 42 U.S.C. § 2000e-16(a).</w:t>
      </w:r>
      <w:proofErr w:type="gramEnd"/>
    </w:p>
  </w:footnote>
  <w:footnote w:id="46">
    <w:p w:rsidR="00BF1E2A" w:rsidRDefault="00BF1E2A">
      <w:pPr>
        <w:pStyle w:val="FootnoteText"/>
      </w:pPr>
      <w:r>
        <w:rPr>
          <w:rStyle w:val="FootnoteReference"/>
        </w:rPr>
        <w:footnoteRef/>
      </w:r>
      <w:r>
        <w:t xml:space="preserve"> </w:t>
      </w:r>
      <w:proofErr w:type="gramStart"/>
      <w:r>
        <w:t>See, e.g., WAC Chapter 162-20 (age discrimination in public employment).</w:t>
      </w:r>
      <w:proofErr w:type="gramEnd"/>
    </w:p>
  </w:footnote>
  <w:footnote w:id="47">
    <w:p w:rsidR="00BF1E2A" w:rsidRDefault="00BF1E2A">
      <w:pPr>
        <w:pStyle w:val="FootnoteText"/>
      </w:pPr>
      <w:r>
        <w:rPr>
          <w:rStyle w:val="FootnoteReference"/>
        </w:rPr>
        <w:footnoteRef/>
      </w:r>
      <w:r>
        <w:t xml:space="preserve"> </w:t>
      </w:r>
      <w:proofErr w:type="gramStart"/>
      <w:r>
        <w:t>See, e.g., 42 U.S.C. §§ 2000d, 2000d-3; 29 U.S.C. § 794.</w:t>
      </w:r>
      <w:proofErr w:type="gramEnd"/>
    </w:p>
  </w:footnote>
  <w:footnote w:id="48">
    <w:p w:rsidR="00BF1E2A" w:rsidRDefault="00BF1E2A">
      <w:pPr>
        <w:pStyle w:val="FootnoteText"/>
      </w:pPr>
      <w:r>
        <w:rPr>
          <w:rStyle w:val="FootnoteReference"/>
        </w:rPr>
        <w:footnoteRef/>
      </w:r>
      <w:r>
        <w:t xml:space="preserve"> </w:t>
      </w:r>
      <w:proofErr w:type="gramStart"/>
      <w:r>
        <w:t>RCW 49.60.180</w:t>
      </w:r>
      <w:r>
        <w:t>;</w:t>
      </w:r>
      <w:r>
        <w:t xml:space="preserve"> RCW 49.60.040(11)</w:t>
      </w:r>
      <w:r>
        <w:t>.</w:t>
      </w:r>
      <w:proofErr w:type="gramEnd"/>
    </w:p>
  </w:footnote>
  <w:footnote w:id="49">
    <w:p w:rsidR="00BF1E2A" w:rsidRDefault="00BF1E2A">
      <w:pPr>
        <w:pStyle w:val="FootnoteText"/>
      </w:pPr>
      <w:r>
        <w:rPr>
          <w:rStyle w:val="FootnoteReference"/>
        </w:rPr>
        <w:footnoteRef/>
      </w:r>
      <w:r>
        <w:t xml:space="preserve"> </w:t>
      </w:r>
      <w:proofErr w:type="gramStart"/>
      <w:r>
        <w:t>Seattle Municipal Code 14.04.040</w:t>
      </w:r>
      <w:r>
        <w:t xml:space="preserve">; Seattle Municipal Code </w:t>
      </w:r>
      <w:r>
        <w:t>14.04.030(K)</w:t>
      </w:r>
      <w:r>
        <w:t>.</w:t>
      </w:r>
      <w:proofErr w:type="gramEnd"/>
    </w:p>
  </w:footnote>
  <w:footnote w:id="50">
    <w:p w:rsidR="00BF1E2A" w:rsidRDefault="00BF1E2A">
      <w:pPr>
        <w:pStyle w:val="FootnoteText"/>
      </w:pPr>
      <w:r>
        <w:rPr>
          <w:rStyle w:val="FootnoteReference"/>
        </w:rPr>
        <w:footnoteRef/>
      </w:r>
      <w:r>
        <w:t xml:space="preserve"> See 42 U.S.C. § 2000e-3(a); RCW 49.60.210.  See also, e.g., Seattle </w:t>
      </w:r>
      <w:proofErr w:type="gramStart"/>
      <w:r>
        <w:t>Municipal  Code</w:t>
      </w:r>
      <w:proofErr w:type="gramEnd"/>
      <w:r>
        <w:t xml:space="preserve"> 14.04.040(F); Spokane Municipal Code 01.06.040.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F8E8D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180F5A"/>
    <w:multiLevelType w:val="hybridMultilevel"/>
    <w:tmpl w:val="4896F4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17C6972"/>
    <w:multiLevelType w:val="hybridMultilevel"/>
    <w:tmpl w:val="0522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21C81"/>
    <w:multiLevelType w:val="hybridMultilevel"/>
    <w:tmpl w:val="7C08A8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28638BC"/>
    <w:multiLevelType w:val="hybridMultilevel"/>
    <w:tmpl w:val="F40061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FC23E2"/>
    <w:multiLevelType w:val="hybridMultilevel"/>
    <w:tmpl w:val="90D23B18"/>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AEC1648"/>
    <w:multiLevelType w:val="hybridMultilevel"/>
    <w:tmpl w:val="D6AE6F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32217E5"/>
    <w:multiLevelType w:val="hybridMultilevel"/>
    <w:tmpl w:val="6134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95BD7"/>
    <w:multiLevelType w:val="hybridMultilevel"/>
    <w:tmpl w:val="3DB2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8DF433A"/>
    <w:multiLevelType w:val="hybridMultilevel"/>
    <w:tmpl w:val="1A4E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1"/>
  </w:num>
  <w:num w:numId="6">
    <w:abstractNumId w:val="6"/>
  </w:num>
  <w:num w:numId="7">
    <w:abstractNumId w:val="8"/>
  </w:num>
  <w:num w:numId="8">
    <w:abstractNumId w:val="5"/>
  </w:num>
  <w:num w:numId="9">
    <w:abstractNumId w:val="9"/>
  </w:num>
  <w:num w:numId="10">
    <w:abstractNumId w:val="1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18A"/>
    <w:rsid w:val="00005179"/>
    <w:rsid w:val="000070DA"/>
    <w:rsid w:val="00012859"/>
    <w:rsid w:val="00021A54"/>
    <w:rsid w:val="000262D4"/>
    <w:rsid w:val="00032C39"/>
    <w:rsid w:val="00033202"/>
    <w:rsid w:val="00033841"/>
    <w:rsid w:val="00052169"/>
    <w:rsid w:val="000639E1"/>
    <w:rsid w:val="00063F51"/>
    <w:rsid w:val="0006467A"/>
    <w:rsid w:val="0008366E"/>
    <w:rsid w:val="000B0533"/>
    <w:rsid w:val="000B2F43"/>
    <w:rsid w:val="000B62C9"/>
    <w:rsid w:val="000C6930"/>
    <w:rsid w:val="000D4DF2"/>
    <w:rsid w:val="000E1D0B"/>
    <w:rsid w:val="000F2DFE"/>
    <w:rsid w:val="001024A3"/>
    <w:rsid w:val="00112E50"/>
    <w:rsid w:val="00115713"/>
    <w:rsid w:val="00120DF7"/>
    <w:rsid w:val="00135007"/>
    <w:rsid w:val="001374C8"/>
    <w:rsid w:val="00155995"/>
    <w:rsid w:val="00162B14"/>
    <w:rsid w:val="00163CAD"/>
    <w:rsid w:val="00175AA0"/>
    <w:rsid w:val="00180115"/>
    <w:rsid w:val="00181F7B"/>
    <w:rsid w:val="00182C20"/>
    <w:rsid w:val="00184E8B"/>
    <w:rsid w:val="00184F00"/>
    <w:rsid w:val="00185C4C"/>
    <w:rsid w:val="00187C2B"/>
    <w:rsid w:val="00193018"/>
    <w:rsid w:val="001956CB"/>
    <w:rsid w:val="001A07D3"/>
    <w:rsid w:val="001B1296"/>
    <w:rsid w:val="001B2368"/>
    <w:rsid w:val="001B2B9A"/>
    <w:rsid w:val="001B7AD6"/>
    <w:rsid w:val="001C52EB"/>
    <w:rsid w:val="001C5571"/>
    <w:rsid w:val="001C5A5F"/>
    <w:rsid w:val="001C5C19"/>
    <w:rsid w:val="001D0575"/>
    <w:rsid w:val="001D3862"/>
    <w:rsid w:val="001D569E"/>
    <w:rsid w:val="001F1523"/>
    <w:rsid w:val="001F5E6C"/>
    <w:rsid w:val="001F61C5"/>
    <w:rsid w:val="0020595E"/>
    <w:rsid w:val="00211CD0"/>
    <w:rsid w:val="002120D0"/>
    <w:rsid w:val="00227540"/>
    <w:rsid w:val="00227D99"/>
    <w:rsid w:val="00235E4B"/>
    <w:rsid w:val="0024075A"/>
    <w:rsid w:val="00245DC3"/>
    <w:rsid w:val="00253971"/>
    <w:rsid w:val="0026442D"/>
    <w:rsid w:val="002710B3"/>
    <w:rsid w:val="002728E6"/>
    <w:rsid w:val="00272F58"/>
    <w:rsid w:val="00277B65"/>
    <w:rsid w:val="002820A4"/>
    <w:rsid w:val="002825B4"/>
    <w:rsid w:val="00286EAC"/>
    <w:rsid w:val="002909B6"/>
    <w:rsid w:val="002932E5"/>
    <w:rsid w:val="002A069F"/>
    <w:rsid w:val="002A34C8"/>
    <w:rsid w:val="002B188B"/>
    <w:rsid w:val="002B2A2D"/>
    <w:rsid w:val="002B346A"/>
    <w:rsid w:val="002B6741"/>
    <w:rsid w:val="002D0377"/>
    <w:rsid w:val="002D7F23"/>
    <w:rsid w:val="002F2D98"/>
    <w:rsid w:val="002F34E0"/>
    <w:rsid w:val="003038F7"/>
    <w:rsid w:val="003051C5"/>
    <w:rsid w:val="0030553E"/>
    <w:rsid w:val="003063F0"/>
    <w:rsid w:val="00310E54"/>
    <w:rsid w:val="00313A17"/>
    <w:rsid w:val="00324EBE"/>
    <w:rsid w:val="003250D2"/>
    <w:rsid w:val="00334B03"/>
    <w:rsid w:val="00336400"/>
    <w:rsid w:val="00345338"/>
    <w:rsid w:val="0034745A"/>
    <w:rsid w:val="00361B1D"/>
    <w:rsid w:val="0036468D"/>
    <w:rsid w:val="003708AB"/>
    <w:rsid w:val="00370AB7"/>
    <w:rsid w:val="003727EE"/>
    <w:rsid w:val="00383190"/>
    <w:rsid w:val="003860E0"/>
    <w:rsid w:val="00392B44"/>
    <w:rsid w:val="003964F0"/>
    <w:rsid w:val="003A6A6D"/>
    <w:rsid w:val="003C4CD3"/>
    <w:rsid w:val="003D7DDC"/>
    <w:rsid w:val="003E4BD1"/>
    <w:rsid w:val="003F70F6"/>
    <w:rsid w:val="003F78C1"/>
    <w:rsid w:val="00404E1C"/>
    <w:rsid w:val="004312AB"/>
    <w:rsid w:val="00432712"/>
    <w:rsid w:val="00434FFD"/>
    <w:rsid w:val="004357F7"/>
    <w:rsid w:val="00450580"/>
    <w:rsid w:val="004521FD"/>
    <w:rsid w:val="00452578"/>
    <w:rsid w:val="00460CB1"/>
    <w:rsid w:val="00461664"/>
    <w:rsid w:val="004673F2"/>
    <w:rsid w:val="00473A5A"/>
    <w:rsid w:val="00475C18"/>
    <w:rsid w:val="004843B0"/>
    <w:rsid w:val="00487BC6"/>
    <w:rsid w:val="004900D3"/>
    <w:rsid w:val="004A0999"/>
    <w:rsid w:val="004A2296"/>
    <w:rsid w:val="004A7BEE"/>
    <w:rsid w:val="004A7F53"/>
    <w:rsid w:val="004C1CCA"/>
    <w:rsid w:val="004D3A6C"/>
    <w:rsid w:val="004E48E1"/>
    <w:rsid w:val="004E4BCA"/>
    <w:rsid w:val="00514941"/>
    <w:rsid w:val="00520A04"/>
    <w:rsid w:val="005367DB"/>
    <w:rsid w:val="00550A4F"/>
    <w:rsid w:val="005743B5"/>
    <w:rsid w:val="00586160"/>
    <w:rsid w:val="005A17BA"/>
    <w:rsid w:val="005A302B"/>
    <w:rsid w:val="005B1748"/>
    <w:rsid w:val="005C0B92"/>
    <w:rsid w:val="005C2F50"/>
    <w:rsid w:val="005E453C"/>
    <w:rsid w:val="005E5914"/>
    <w:rsid w:val="005E598A"/>
    <w:rsid w:val="005F1198"/>
    <w:rsid w:val="00600F33"/>
    <w:rsid w:val="00603684"/>
    <w:rsid w:val="0060479E"/>
    <w:rsid w:val="006123A3"/>
    <w:rsid w:val="00642ADA"/>
    <w:rsid w:val="00645A6C"/>
    <w:rsid w:val="0065137E"/>
    <w:rsid w:val="00656FA0"/>
    <w:rsid w:val="0066302A"/>
    <w:rsid w:val="00665F03"/>
    <w:rsid w:val="006777A3"/>
    <w:rsid w:val="006802C3"/>
    <w:rsid w:val="00692176"/>
    <w:rsid w:val="0069231A"/>
    <w:rsid w:val="0069643E"/>
    <w:rsid w:val="006A223C"/>
    <w:rsid w:val="006A6EFB"/>
    <w:rsid w:val="006B27C5"/>
    <w:rsid w:val="006B29B7"/>
    <w:rsid w:val="006B627C"/>
    <w:rsid w:val="006C2C58"/>
    <w:rsid w:val="006C44CD"/>
    <w:rsid w:val="006E6F44"/>
    <w:rsid w:val="006F3C50"/>
    <w:rsid w:val="006F4DA0"/>
    <w:rsid w:val="00710B76"/>
    <w:rsid w:val="007160F0"/>
    <w:rsid w:val="00723770"/>
    <w:rsid w:val="007247F0"/>
    <w:rsid w:val="00724E07"/>
    <w:rsid w:val="00725309"/>
    <w:rsid w:val="00725D9F"/>
    <w:rsid w:val="007361D9"/>
    <w:rsid w:val="007421EA"/>
    <w:rsid w:val="00745135"/>
    <w:rsid w:val="00753CEC"/>
    <w:rsid w:val="00754DB9"/>
    <w:rsid w:val="007568AC"/>
    <w:rsid w:val="00756993"/>
    <w:rsid w:val="007609B4"/>
    <w:rsid w:val="007609ED"/>
    <w:rsid w:val="007672D7"/>
    <w:rsid w:val="00771271"/>
    <w:rsid w:val="00775311"/>
    <w:rsid w:val="00782CEA"/>
    <w:rsid w:val="00785BDE"/>
    <w:rsid w:val="00790CE9"/>
    <w:rsid w:val="007945FA"/>
    <w:rsid w:val="007B7627"/>
    <w:rsid w:val="007D052A"/>
    <w:rsid w:val="007D093D"/>
    <w:rsid w:val="007D2C88"/>
    <w:rsid w:val="007E0409"/>
    <w:rsid w:val="007E1DF4"/>
    <w:rsid w:val="007E2949"/>
    <w:rsid w:val="007E6FD3"/>
    <w:rsid w:val="00801433"/>
    <w:rsid w:val="00812337"/>
    <w:rsid w:val="008308C1"/>
    <w:rsid w:val="008319A4"/>
    <w:rsid w:val="00843A4D"/>
    <w:rsid w:val="00853367"/>
    <w:rsid w:val="00861315"/>
    <w:rsid w:val="008636FF"/>
    <w:rsid w:val="00871609"/>
    <w:rsid w:val="00886B0B"/>
    <w:rsid w:val="0089045D"/>
    <w:rsid w:val="00895B24"/>
    <w:rsid w:val="008A5C4A"/>
    <w:rsid w:val="008A6180"/>
    <w:rsid w:val="008B11CF"/>
    <w:rsid w:val="008B2E54"/>
    <w:rsid w:val="008C6FF7"/>
    <w:rsid w:val="008C740E"/>
    <w:rsid w:val="008D2921"/>
    <w:rsid w:val="008D401E"/>
    <w:rsid w:val="008D4CD6"/>
    <w:rsid w:val="008D65E7"/>
    <w:rsid w:val="008D700A"/>
    <w:rsid w:val="008E2DFC"/>
    <w:rsid w:val="008E723A"/>
    <w:rsid w:val="0090118A"/>
    <w:rsid w:val="009012B7"/>
    <w:rsid w:val="009051D1"/>
    <w:rsid w:val="00910197"/>
    <w:rsid w:val="00914F96"/>
    <w:rsid w:val="00916994"/>
    <w:rsid w:val="00926CF6"/>
    <w:rsid w:val="009273D6"/>
    <w:rsid w:val="00934314"/>
    <w:rsid w:val="00935CB3"/>
    <w:rsid w:val="00944EB0"/>
    <w:rsid w:val="00945006"/>
    <w:rsid w:val="00954E8D"/>
    <w:rsid w:val="00955467"/>
    <w:rsid w:val="00961921"/>
    <w:rsid w:val="00961E3F"/>
    <w:rsid w:val="00971071"/>
    <w:rsid w:val="009711A6"/>
    <w:rsid w:val="00973CBF"/>
    <w:rsid w:val="00975C98"/>
    <w:rsid w:val="009830C2"/>
    <w:rsid w:val="00984696"/>
    <w:rsid w:val="009926EA"/>
    <w:rsid w:val="009A39FB"/>
    <w:rsid w:val="009A4AEB"/>
    <w:rsid w:val="009A58BA"/>
    <w:rsid w:val="009A64AC"/>
    <w:rsid w:val="009B5B8F"/>
    <w:rsid w:val="009C2CC7"/>
    <w:rsid w:val="009E0E88"/>
    <w:rsid w:val="009E32C0"/>
    <w:rsid w:val="009E5791"/>
    <w:rsid w:val="009E7345"/>
    <w:rsid w:val="009F452D"/>
    <w:rsid w:val="009F5238"/>
    <w:rsid w:val="00A03A34"/>
    <w:rsid w:val="00A10C9A"/>
    <w:rsid w:val="00A11A35"/>
    <w:rsid w:val="00A13242"/>
    <w:rsid w:val="00A14096"/>
    <w:rsid w:val="00A200D9"/>
    <w:rsid w:val="00A266B1"/>
    <w:rsid w:val="00A316F2"/>
    <w:rsid w:val="00A51783"/>
    <w:rsid w:val="00A60ECA"/>
    <w:rsid w:val="00A61C9C"/>
    <w:rsid w:val="00A6264B"/>
    <w:rsid w:val="00A62735"/>
    <w:rsid w:val="00A838EF"/>
    <w:rsid w:val="00A8555E"/>
    <w:rsid w:val="00A85B47"/>
    <w:rsid w:val="00A91CD4"/>
    <w:rsid w:val="00AB3D4A"/>
    <w:rsid w:val="00AC2EC4"/>
    <w:rsid w:val="00AC50F7"/>
    <w:rsid w:val="00AC63A8"/>
    <w:rsid w:val="00AD30C1"/>
    <w:rsid w:val="00AD6242"/>
    <w:rsid w:val="00AD6BAE"/>
    <w:rsid w:val="00AE01A4"/>
    <w:rsid w:val="00AF2CF8"/>
    <w:rsid w:val="00B00DDE"/>
    <w:rsid w:val="00B00FEA"/>
    <w:rsid w:val="00B11D6C"/>
    <w:rsid w:val="00B179CA"/>
    <w:rsid w:val="00B25B73"/>
    <w:rsid w:val="00B31702"/>
    <w:rsid w:val="00B36EE4"/>
    <w:rsid w:val="00B43000"/>
    <w:rsid w:val="00B51B62"/>
    <w:rsid w:val="00B5397F"/>
    <w:rsid w:val="00B5507A"/>
    <w:rsid w:val="00B572C1"/>
    <w:rsid w:val="00B66901"/>
    <w:rsid w:val="00B677D0"/>
    <w:rsid w:val="00B85271"/>
    <w:rsid w:val="00B8626F"/>
    <w:rsid w:val="00BA1F0A"/>
    <w:rsid w:val="00BA2328"/>
    <w:rsid w:val="00BB5974"/>
    <w:rsid w:val="00BC3826"/>
    <w:rsid w:val="00BC4DA1"/>
    <w:rsid w:val="00BC4FD3"/>
    <w:rsid w:val="00BC5BFF"/>
    <w:rsid w:val="00BC7993"/>
    <w:rsid w:val="00BF1E2A"/>
    <w:rsid w:val="00BF396A"/>
    <w:rsid w:val="00C07745"/>
    <w:rsid w:val="00C07A0C"/>
    <w:rsid w:val="00C115A2"/>
    <w:rsid w:val="00C277E7"/>
    <w:rsid w:val="00C419FA"/>
    <w:rsid w:val="00C5057E"/>
    <w:rsid w:val="00C64EAC"/>
    <w:rsid w:val="00C6650E"/>
    <w:rsid w:val="00C67660"/>
    <w:rsid w:val="00C71658"/>
    <w:rsid w:val="00C71C8B"/>
    <w:rsid w:val="00C74E73"/>
    <w:rsid w:val="00C82054"/>
    <w:rsid w:val="00C836FC"/>
    <w:rsid w:val="00C84015"/>
    <w:rsid w:val="00C96724"/>
    <w:rsid w:val="00CA45ED"/>
    <w:rsid w:val="00CA51CA"/>
    <w:rsid w:val="00CA6FAE"/>
    <w:rsid w:val="00CB443A"/>
    <w:rsid w:val="00CB7CE7"/>
    <w:rsid w:val="00CC4C83"/>
    <w:rsid w:val="00CC69AC"/>
    <w:rsid w:val="00CD0C82"/>
    <w:rsid w:val="00CD111E"/>
    <w:rsid w:val="00CD2E7C"/>
    <w:rsid w:val="00CD4E3B"/>
    <w:rsid w:val="00CD6B94"/>
    <w:rsid w:val="00CD7067"/>
    <w:rsid w:val="00CE106C"/>
    <w:rsid w:val="00D031BD"/>
    <w:rsid w:val="00D15B79"/>
    <w:rsid w:val="00D24824"/>
    <w:rsid w:val="00D26C90"/>
    <w:rsid w:val="00D516BE"/>
    <w:rsid w:val="00D51ECE"/>
    <w:rsid w:val="00D631FE"/>
    <w:rsid w:val="00D6448F"/>
    <w:rsid w:val="00D763F7"/>
    <w:rsid w:val="00D87929"/>
    <w:rsid w:val="00D97986"/>
    <w:rsid w:val="00DB7C05"/>
    <w:rsid w:val="00DC4D20"/>
    <w:rsid w:val="00DC6B0A"/>
    <w:rsid w:val="00DD368C"/>
    <w:rsid w:val="00DE0357"/>
    <w:rsid w:val="00E0129F"/>
    <w:rsid w:val="00E1408C"/>
    <w:rsid w:val="00E202E9"/>
    <w:rsid w:val="00E34ECA"/>
    <w:rsid w:val="00E5073A"/>
    <w:rsid w:val="00E57184"/>
    <w:rsid w:val="00E60C30"/>
    <w:rsid w:val="00E616AF"/>
    <w:rsid w:val="00E6687D"/>
    <w:rsid w:val="00E7263D"/>
    <w:rsid w:val="00E765D0"/>
    <w:rsid w:val="00E83BA7"/>
    <w:rsid w:val="00E83C1B"/>
    <w:rsid w:val="00E8521E"/>
    <w:rsid w:val="00E859B6"/>
    <w:rsid w:val="00EB2444"/>
    <w:rsid w:val="00EB39C9"/>
    <w:rsid w:val="00EB4983"/>
    <w:rsid w:val="00EC062E"/>
    <w:rsid w:val="00ED02DF"/>
    <w:rsid w:val="00ED3922"/>
    <w:rsid w:val="00ED7959"/>
    <w:rsid w:val="00EE6406"/>
    <w:rsid w:val="00EF15A7"/>
    <w:rsid w:val="00EF1AE9"/>
    <w:rsid w:val="00F0231D"/>
    <w:rsid w:val="00F06578"/>
    <w:rsid w:val="00F07865"/>
    <w:rsid w:val="00F13297"/>
    <w:rsid w:val="00F1675C"/>
    <w:rsid w:val="00F178B3"/>
    <w:rsid w:val="00F24961"/>
    <w:rsid w:val="00F40B50"/>
    <w:rsid w:val="00F44689"/>
    <w:rsid w:val="00F820A6"/>
    <w:rsid w:val="00F85944"/>
    <w:rsid w:val="00F94CB1"/>
    <w:rsid w:val="00FB6B83"/>
    <w:rsid w:val="00FC6CEB"/>
    <w:rsid w:val="00FD3D26"/>
    <w:rsid w:val="00FD41A3"/>
    <w:rsid w:val="00FD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18A"/>
    <w:pPr>
      <w:jc w:val="both"/>
    </w:pPr>
    <w:rPr>
      <w:rFonts w:eastAsia="Times New Roman" w:cs="Times New Roman"/>
      <w:snapToGrid w:val="0"/>
      <w:szCs w:val="20"/>
    </w:rPr>
  </w:style>
  <w:style w:type="paragraph" w:styleId="Heading1">
    <w:name w:val="heading 1"/>
    <w:basedOn w:val="Normal"/>
    <w:next w:val="Normal"/>
    <w:link w:val="Heading1Char"/>
    <w:qFormat/>
    <w:rsid w:val="0090118A"/>
    <w:pPr>
      <w:keepNext/>
      <w:keepLines/>
      <w:widowControl w:val="0"/>
      <w:jc w:val="center"/>
      <w:outlineLvl w:val="0"/>
    </w:pPr>
    <w:rPr>
      <w:b/>
      <w:kern w:val="28"/>
    </w:rPr>
  </w:style>
  <w:style w:type="paragraph" w:styleId="Heading2">
    <w:name w:val="heading 2"/>
    <w:basedOn w:val="Normal"/>
    <w:next w:val="Normal"/>
    <w:link w:val="Heading2Char"/>
    <w:qFormat/>
    <w:rsid w:val="0090118A"/>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118A"/>
    <w:rPr>
      <w:rFonts w:eastAsia="Times New Roman" w:cs="Times New Roman"/>
      <w:b/>
      <w:snapToGrid w:val="0"/>
      <w:kern w:val="28"/>
      <w:szCs w:val="20"/>
    </w:rPr>
  </w:style>
  <w:style w:type="character" w:customStyle="1" w:styleId="Heading2Char">
    <w:name w:val="Heading 2 Char"/>
    <w:basedOn w:val="DefaultParagraphFont"/>
    <w:link w:val="Heading2"/>
    <w:rsid w:val="0090118A"/>
    <w:rPr>
      <w:rFonts w:eastAsia="Times New Roman" w:cs="Times New Roman"/>
      <w:b/>
      <w:snapToGrid w:val="0"/>
      <w:szCs w:val="20"/>
    </w:rPr>
  </w:style>
  <w:style w:type="paragraph" w:styleId="ListBullet">
    <w:name w:val="List Bullet"/>
    <w:basedOn w:val="Normal"/>
    <w:next w:val="Normal"/>
    <w:autoRedefine/>
    <w:semiHidden/>
    <w:rsid w:val="0090118A"/>
    <w:pPr>
      <w:numPr>
        <w:numId w:val="3"/>
      </w:numPr>
    </w:pPr>
  </w:style>
  <w:style w:type="paragraph" w:styleId="ListBullet2">
    <w:name w:val="List Bullet 2"/>
    <w:basedOn w:val="Normal"/>
    <w:next w:val="Normal"/>
    <w:autoRedefine/>
    <w:semiHidden/>
    <w:rsid w:val="0090118A"/>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A200D9"/>
    <w:rPr>
      <w:sz w:val="20"/>
    </w:rPr>
  </w:style>
  <w:style w:type="character" w:customStyle="1" w:styleId="FootnoteTextChar">
    <w:name w:val="Footnote Text Char"/>
    <w:basedOn w:val="DefaultParagraphFont"/>
    <w:link w:val="FootnoteText"/>
    <w:uiPriority w:val="99"/>
    <w:semiHidden/>
    <w:rsid w:val="00A200D9"/>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A200D9"/>
    <w:rPr>
      <w:vertAlign w:val="superscript"/>
    </w:rPr>
  </w:style>
  <w:style w:type="character" w:styleId="CommentReference">
    <w:name w:val="annotation reference"/>
    <w:basedOn w:val="DefaultParagraphFont"/>
    <w:uiPriority w:val="99"/>
    <w:semiHidden/>
    <w:unhideWhenUsed/>
    <w:rsid w:val="00E57184"/>
    <w:rPr>
      <w:sz w:val="16"/>
      <w:szCs w:val="16"/>
    </w:rPr>
  </w:style>
  <w:style w:type="paragraph" w:styleId="CommentText">
    <w:name w:val="annotation text"/>
    <w:basedOn w:val="Normal"/>
    <w:link w:val="CommentTextChar"/>
    <w:uiPriority w:val="99"/>
    <w:semiHidden/>
    <w:unhideWhenUsed/>
    <w:rsid w:val="00E57184"/>
    <w:rPr>
      <w:sz w:val="20"/>
    </w:rPr>
  </w:style>
  <w:style w:type="character" w:customStyle="1" w:styleId="CommentTextChar">
    <w:name w:val="Comment Text Char"/>
    <w:basedOn w:val="DefaultParagraphFont"/>
    <w:link w:val="CommentText"/>
    <w:uiPriority w:val="99"/>
    <w:semiHidden/>
    <w:rsid w:val="00E57184"/>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E57184"/>
    <w:rPr>
      <w:b/>
      <w:bCs/>
    </w:rPr>
  </w:style>
  <w:style w:type="character" w:customStyle="1" w:styleId="CommentSubjectChar">
    <w:name w:val="Comment Subject Char"/>
    <w:basedOn w:val="CommentTextChar"/>
    <w:link w:val="CommentSubject"/>
    <w:uiPriority w:val="99"/>
    <w:semiHidden/>
    <w:rsid w:val="00E57184"/>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E57184"/>
    <w:rPr>
      <w:rFonts w:ascii="Tahoma" w:hAnsi="Tahoma" w:cs="Tahoma"/>
      <w:sz w:val="16"/>
      <w:szCs w:val="16"/>
    </w:rPr>
  </w:style>
  <w:style w:type="character" w:customStyle="1" w:styleId="BalloonTextChar">
    <w:name w:val="Balloon Text Char"/>
    <w:basedOn w:val="DefaultParagraphFont"/>
    <w:link w:val="BalloonText"/>
    <w:uiPriority w:val="99"/>
    <w:semiHidden/>
    <w:rsid w:val="00E57184"/>
    <w:rPr>
      <w:rFonts w:ascii="Tahoma" w:eastAsia="Times New Roman" w:hAnsi="Tahoma" w:cs="Tahoma"/>
      <w:snapToGrid w:val="0"/>
      <w:sz w:val="16"/>
      <w:szCs w:val="16"/>
    </w:rPr>
  </w:style>
  <w:style w:type="paragraph" w:styleId="ListParagraph">
    <w:name w:val="List Paragraph"/>
    <w:basedOn w:val="Normal"/>
    <w:uiPriority w:val="34"/>
    <w:qFormat/>
    <w:rsid w:val="00FD41A3"/>
    <w:pPr>
      <w:ind w:left="720"/>
      <w:contextualSpacing/>
    </w:pPr>
  </w:style>
  <w:style w:type="paragraph" w:styleId="HTMLPreformatted">
    <w:name w:val="HTML Preformatted"/>
    <w:basedOn w:val="Normal"/>
    <w:link w:val="HTMLPreformattedChar"/>
    <w:uiPriority w:val="99"/>
    <w:semiHidden/>
    <w:unhideWhenUsed/>
    <w:rsid w:val="00C71C8B"/>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C71C8B"/>
    <w:rPr>
      <w:rFonts w:ascii="Consolas" w:eastAsia="Times New Roman" w:hAnsi="Consolas" w:cs="Consolas"/>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18A"/>
    <w:pPr>
      <w:jc w:val="both"/>
    </w:pPr>
    <w:rPr>
      <w:rFonts w:eastAsia="Times New Roman" w:cs="Times New Roman"/>
      <w:snapToGrid w:val="0"/>
      <w:szCs w:val="20"/>
    </w:rPr>
  </w:style>
  <w:style w:type="paragraph" w:styleId="Heading1">
    <w:name w:val="heading 1"/>
    <w:basedOn w:val="Normal"/>
    <w:next w:val="Normal"/>
    <w:link w:val="Heading1Char"/>
    <w:qFormat/>
    <w:rsid w:val="0090118A"/>
    <w:pPr>
      <w:keepNext/>
      <w:keepLines/>
      <w:widowControl w:val="0"/>
      <w:jc w:val="center"/>
      <w:outlineLvl w:val="0"/>
    </w:pPr>
    <w:rPr>
      <w:b/>
      <w:kern w:val="28"/>
    </w:rPr>
  </w:style>
  <w:style w:type="paragraph" w:styleId="Heading2">
    <w:name w:val="heading 2"/>
    <w:basedOn w:val="Normal"/>
    <w:next w:val="Normal"/>
    <w:link w:val="Heading2Char"/>
    <w:qFormat/>
    <w:rsid w:val="0090118A"/>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118A"/>
    <w:rPr>
      <w:rFonts w:eastAsia="Times New Roman" w:cs="Times New Roman"/>
      <w:b/>
      <w:snapToGrid w:val="0"/>
      <w:kern w:val="28"/>
      <w:szCs w:val="20"/>
    </w:rPr>
  </w:style>
  <w:style w:type="character" w:customStyle="1" w:styleId="Heading2Char">
    <w:name w:val="Heading 2 Char"/>
    <w:basedOn w:val="DefaultParagraphFont"/>
    <w:link w:val="Heading2"/>
    <w:rsid w:val="0090118A"/>
    <w:rPr>
      <w:rFonts w:eastAsia="Times New Roman" w:cs="Times New Roman"/>
      <w:b/>
      <w:snapToGrid w:val="0"/>
      <w:szCs w:val="20"/>
    </w:rPr>
  </w:style>
  <w:style w:type="paragraph" w:styleId="ListBullet">
    <w:name w:val="List Bullet"/>
    <w:basedOn w:val="Normal"/>
    <w:next w:val="Normal"/>
    <w:autoRedefine/>
    <w:semiHidden/>
    <w:rsid w:val="0090118A"/>
    <w:pPr>
      <w:numPr>
        <w:numId w:val="3"/>
      </w:numPr>
    </w:pPr>
  </w:style>
  <w:style w:type="paragraph" w:styleId="ListBullet2">
    <w:name w:val="List Bullet 2"/>
    <w:basedOn w:val="Normal"/>
    <w:next w:val="Normal"/>
    <w:autoRedefine/>
    <w:semiHidden/>
    <w:rsid w:val="0090118A"/>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A200D9"/>
    <w:rPr>
      <w:sz w:val="20"/>
    </w:rPr>
  </w:style>
  <w:style w:type="character" w:customStyle="1" w:styleId="FootnoteTextChar">
    <w:name w:val="Footnote Text Char"/>
    <w:basedOn w:val="DefaultParagraphFont"/>
    <w:link w:val="FootnoteText"/>
    <w:uiPriority w:val="99"/>
    <w:semiHidden/>
    <w:rsid w:val="00A200D9"/>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A200D9"/>
    <w:rPr>
      <w:vertAlign w:val="superscript"/>
    </w:rPr>
  </w:style>
  <w:style w:type="character" w:styleId="CommentReference">
    <w:name w:val="annotation reference"/>
    <w:basedOn w:val="DefaultParagraphFont"/>
    <w:uiPriority w:val="99"/>
    <w:semiHidden/>
    <w:unhideWhenUsed/>
    <w:rsid w:val="00E57184"/>
    <w:rPr>
      <w:sz w:val="16"/>
      <w:szCs w:val="16"/>
    </w:rPr>
  </w:style>
  <w:style w:type="paragraph" w:styleId="CommentText">
    <w:name w:val="annotation text"/>
    <w:basedOn w:val="Normal"/>
    <w:link w:val="CommentTextChar"/>
    <w:uiPriority w:val="99"/>
    <w:semiHidden/>
    <w:unhideWhenUsed/>
    <w:rsid w:val="00E57184"/>
    <w:rPr>
      <w:sz w:val="20"/>
    </w:rPr>
  </w:style>
  <w:style w:type="character" w:customStyle="1" w:styleId="CommentTextChar">
    <w:name w:val="Comment Text Char"/>
    <w:basedOn w:val="DefaultParagraphFont"/>
    <w:link w:val="CommentText"/>
    <w:uiPriority w:val="99"/>
    <w:semiHidden/>
    <w:rsid w:val="00E57184"/>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E57184"/>
    <w:rPr>
      <w:b/>
      <w:bCs/>
    </w:rPr>
  </w:style>
  <w:style w:type="character" w:customStyle="1" w:styleId="CommentSubjectChar">
    <w:name w:val="Comment Subject Char"/>
    <w:basedOn w:val="CommentTextChar"/>
    <w:link w:val="CommentSubject"/>
    <w:uiPriority w:val="99"/>
    <w:semiHidden/>
    <w:rsid w:val="00E57184"/>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E57184"/>
    <w:rPr>
      <w:rFonts w:ascii="Tahoma" w:hAnsi="Tahoma" w:cs="Tahoma"/>
      <w:sz w:val="16"/>
      <w:szCs w:val="16"/>
    </w:rPr>
  </w:style>
  <w:style w:type="character" w:customStyle="1" w:styleId="BalloonTextChar">
    <w:name w:val="Balloon Text Char"/>
    <w:basedOn w:val="DefaultParagraphFont"/>
    <w:link w:val="BalloonText"/>
    <w:uiPriority w:val="99"/>
    <w:semiHidden/>
    <w:rsid w:val="00E57184"/>
    <w:rPr>
      <w:rFonts w:ascii="Tahoma" w:eastAsia="Times New Roman" w:hAnsi="Tahoma" w:cs="Tahoma"/>
      <w:snapToGrid w:val="0"/>
      <w:sz w:val="16"/>
      <w:szCs w:val="16"/>
    </w:rPr>
  </w:style>
  <w:style w:type="paragraph" w:styleId="ListParagraph">
    <w:name w:val="List Paragraph"/>
    <w:basedOn w:val="Normal"/>
    <w:uiPriority w:val="34"/>
    <w:qFormat/>
    <w:rsid w:val="00FD41A3"/>
    <w:pPr>
      <w:ind w:left="720"/>
      <w:contextualSpacing/>
    </w:pPr>
  </w:style>
  <w:style w:type="paragraph" w:styleId="HTMLPreformatted">
    <w:name w:val="HTML Preformatted"/>
    <w:basedOn w:val="Normal"/>
    <w:link w:val="HTMLPreformattedChar"/>
    <w:uiPriority w:val="99"/>
    <w:semiHidden/>
    <w:unhideWhenUsed/>
    <w:rsid w:val="00C71C8B"/>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C71C8B"/>
    <w:rPr>
      <w:rFonts w:ascii="Consolas" w:eastAsia="Times New Roman" w:hAnsi="Consolas" w:cs="Consola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15364">
      <w:bodyDiv w:val="1"/>
      <w:marLeft w:val="0"/>
      <w:marRight w:val="0"/>
      <w:marTop w:val="0"/>
      <w:marBottom w:val="0"/>
      <w:divBdr>
        <w:top w:val="none" w:sz="0" w:space="0" w:color="auto"/>
        <w:left w:val="none" w:sz="0" w:space="0" w:color="auto"/>
        <w:bottom w:val="none" w:sz="0" w:space="0" w:color="auto"/>
        <w:right w:val="none" w:sz="0" w:space="0" w:color="auto"/>
      </w:divBdr>
    </w:div>
    <w:div w:id="418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915AE1-B909-4869-8437-9B45AE5E2A28}">
  <ds:schemaRefs>
    <ds:schemaRef ds:uri="http://schemas.openxmlformats.org/officeDocument/2006/bibliography"/>
  </ds:schemaRefs>
</ds:datastoreItem>
</file>

<file path=customXml/itemProps2.xml><?xml version="1.0" encoding="utf-8"?>
<ds:datastoreItem xmlns:ds="http://schemas.openxmlformats.org/officeDocument/2006/customXml" ds:itemID="{C3BA5119-A037-4940-B717-4DD717521618}"/>
</file>

<file path=customXml/itemProps3.xml><?xml version="1.0" encoding="utf-8"?>
<ds:datastoreItem xmlns:ds="http://schemas.openxmlformats.org/officeDocument/2006/customXml" ds:itemID="{C8FE2421-E118-46AC-9806-AF3283F2D803}"/>
</file>

<file path=customXml/itemProps4.xml><?xml version="1.0" encoding="utf-8"?>
<ds:datastoreItem xmlns:ds="http://schemas.openxmlformats.org/officeDocument/2006/customXml" ds:itemID="{B8A9653C-79EB-404C-A8D3-3780745F4264}"/>
</file>

<file path=docProps/app.xml><?xml version="1.0" encoding="utf-8"?>
<Properties xmlns="http://schemas.openxmlformats.org/officeDocument/2006/extended-properties" xmlns:vt="http://schemas.openxmlformats.org/officeDocument/2006/docPropsVTypes">
  <Template>Normal</Template>
  <TotalTime>363</TotalTime>
  <Pages>7</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7</cp:revision>
  <dcterms:created xsi:type="dcterms:W3CDTF">2012-11-24T22:27:00Z</dcterms:created>
  <dcterms:modified xsi:type="dcterms:W3CDTF">2012-11-25T04:31:00Z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