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B38" w:rsidRDefault="00FA6B38" w:rsidP="00FA6B38">
      <w:pPr>
        <w:pStyle w:val="Heading1"/>
      </w:pPr>
      <w:bookmarkStart w:id="0" w:name="_Toc161565677"/>
      <w:r>
        <w:t>HUMAN REMAINS</w:t>
      </w:r>
      <w:bookmarkEnd w:id="0"/>
    </w:p>
    <w:p w:rsidR="00FA6B38" w:rsidRDefault="00FA6B38" w:rsidP="00FA6B38">
      <w:pPr>
        <w:keepNext/>
        <w:keepLines/>
        <w:widowControl w:val="0"/>
      </w:pPr>
    </w:p>
    <w:p w:rsidR="00FA6B38" w:rsidRDefault="00FA6B38" w:rsidP="00FA6B38">
      <w:pPr>
        <w:keepNext/>
        <w:keepLines/>
        <w:widowControl w:val="0"/>
      </w:pPr>
    </w:p>
    <w:p w:rsidR="00FA6B38" w:rsidRDefault="00FA6B38" w:rsidP="00FA6B38">
      <w:pPr>
        <w:pStyle w:val="Heading2"/>
      </w:pPr>
      <w:r>
        <w:t>May a physician obtain or have in his or her possession dead human bodies or body parts?</w:t>
      </w:r>
    </w:p>
    <w:p w:rsidR="00FA6B38" w:rsidRDefault="00FA6B38" w:rsidP="00FA6B38">
      <w:pPr>
        <w:keepNext/>
        <w:keepLines/>
        <w:widowControl w:val="0"/>
        <w:tabs>
          <w:tab w:val="left" w:pos="-720"/>
        </w:tabs>
        <w:suppressAutoHyphens/>
      </w:pPr>
    </w:p>
    <w:p w:rsidR="00FA6B38" w:rsidRDefault="00FA6B38" w:rsidP="00FA6B38">
      <w:pPr>
        <w:tabs>
          <w:tab w:val="left" w:pos="-720"/>
        </w:tabs>
        <w:suppressAutoHyphens/>
      </w:pPr>
      <w:r>
        <w:tab/>
        <w:t xml:space="preserve">Yes.  Any </w:t>
      </w:r>
      <w:r w:rsidR="002F73CF">
        <w:t>state-</w:t>
      </w:r>
      <w:r>
        <w:t>licensed physician or surgeon, or any medical student under the authority of any such physician or surgeon, may obtain or have in his or her possession human dead bodies, or parts of human dead bodies, for the purposes of anatomical inquiry or instruction.</w:t>
      </w:r>
      <w:r w:rsidR="00D90BA2">
        <w:rPr>
          <w:rStyle w:val="FootnoteReference"/>
        </w:rPr>
        <w:footnoteReference w:id="1"/>
      </w:r>
    </w:p>
    <w:p w:rsidR="00FA6B38" w:rsidRDefault="00FA6B38" w:rsidP="00FA6B38">
      <w:pPr>
        <w:tabs>
          <w:tab w:val="left" w:pos="-720"/>
        </w:tabs>
        <w:suppressAutoHyphens/>
      </w:pPr>
    </w:p>
    <w:p w:rsidR="00FA6B38" w:rsidRDefault="00FA6B38" w:rsidP="00FA6B38">
      <w:pPr>
        <w:pStyle w:val="Heading2"/>
      </w:pPr>
      <w:r>
        <w:t>Where does a physician obtain a dead human body or body parts?</w:t>
      </w:r>
      <w:r>
        <w:tab/>
      </w:r>
    </w:p>
    <w:p w:rsidR="00FA6B38" w:rsidRDefault="00FA6B38" w:rsidP="00FA6B38">
      <w:pPr>
        <w:keepNext/>
        <w:keepLines/>
        <w:widowControl w:val="0"/>
        <w:tabs>
          <w:tab w:val="left" w:pos="-720"/>
        </w:tabs>
        <w:suppressAutoHyphens/>
      </w:pPr>
    </w:p>
    <w:p w:rsidR="00FA6B38" w:rsidRDefault="00FA6B38" w:rsidP="00FA6B38">
      <w:pPr>
        <w:tabs>
          <w:tab w:val="left" w:pos="-720"/>
        </w:tabs>
        <w:suppressAutoHyphens/>
      </w:pPr>
      <w:r>
        <w:tab/>
        <w:t xml:space="preserve">Generally, </w:t>
      </w:r>
      <w:r w:rsidR="0098506F">
        <w:t xml:space="preserve">a public agency required to dispose of a </w:t>
      </w:r>
      <w:r>
        <w:t>bod</w:t>
      </w:r>
      <w:r w:rsidR="0098506F">
        <w:t>y</w:t>
      </w:r>
      <w:r w:rsidR="00A16869">
        <w:t xml:space="preserve"> </w:t>
      </w:r>
      <w:r>
        <w:t xml:space="preserve">at public expense will give </w:t>
      </w:r>
      <w:r w:rsidR="0098506F">
        <w:t>the body</w:t>
      </w:r>
      <w:r>
        <w:t xml:space="preserve"> to a physician </w:t>
      </w:r>
      <w:r w:rsidR="0098506F">
        <w:t>to</w:t>
      </w:r>
      <w:r>
        <w:t xml:space="preserve"> use for the advancement of anatomical science.  Preference will be given to Washington medical schools.</w:t>
      </w:r>
      <w:r w:rsidR="002E4BE8">
        <w:rPr>
          <w:rStyle w:val="FootnoteReference"/>
        </w:rPr>
        <w:footnoteReference w:id="2"/>
      </w:r>
    </w:p>
    <w:p w:rsidR="00FA6B38" w:rsidRDefault="00FA6B38" w:rsidP="00FA6B38">
      <w:pPr>
        <w:tabs>
          <w:tab w:val="left" w:pos="-720"/>
        </w:tabs>
        <w:suppressAutoHyphens/>
      </w:pPr>
    </w:p>
    <w:p w:rsidR="00FA6B38" w:rsidRDefault="00FA6B38" w:rsidP="00FA6B38">
      <w:pPr>
        <w:tabs>
          <w:tab w:val="left" w:pos="-720"/>
        </w:tabs>
        <w:suppressAutoHyphens/>
      </w:pPr>
      <w:r>
        <w:tab/>
        <w:t>A person may make an anatomical gift of his or her body</w:t>
      </w:r>
      <w:r w:rsidR="00BD67D9">
        <w:t xml:space="preserve"> for research or education to a hospital; an accredited medical school, dental school, college, or university; or an organ procurement organization</w:t>
      </w:r>
      <w:r>
        <w:t>.</w:t>
      </w:r>
      <w:r w:rsidR="00BA20C9">
        <w:rPr>
          <w:rStyle w:val="FootnoteReference"/>
        </w:rPr>
        <w:footnoteReference w:id="3"/>
      </w:r>
      <w:r>
        <w:t xml:space="preserve">  </w:t>
      </w:r>
      <w:r>
        <w:rPr>
          <w:u w:val="single"/>
        </w:rPr>
        <w:t>See</w:t>
      </w:r>
      <w:r>
        <w:t xml:space="preserve"> </w:t>
      </w:r>
      <w:r>
        <w:rPr>
          <w:b/>
        </w:rPr>
        <w:t>ANATOMICAL GIFTS</w:t>
      </w:r>
      <w:r>
        <w:t>.</w:t>
      </w:r>
    </w:p>
    <w:p w:rsidR="00FA6B38" w:rsidRDefault="00FA6B38" w:rsidP="00FA6B38">
      <w:pPr>
        <w:tabs>
          <w:tab w:val="left" w:pos="-720"/>
        </w:tabs>
        <w:suppressAutoHyphens/>
      </w:pPr>
    </w:p>
    <w:p w:rsidR="00FA6B38" w:rsidRDefault="00FA6B38" w:rsidP="00FA6B38">
      <w:pPr>
        <w:pStyle w:val="Heading2"/>
      </w:pPr>
      <w:r>
        <w:t>Are there any procedures which must be followed in obtaining a body for anatomical study?</w:t>
      </w:r>
    </w:p>
    <w:p w:rsidR="00FA6B38" w:rsidRDefault="00FA6B38" w:rsidP="00FA6B38">
      <w:pPr>
        <w:keepNext/>
        <w:keepLines/>
        <w:widowControl w:val="0"/>
        <w:tabs>
          <w:tab w:val="left" w:pos="-720"/>
        </w:tabs>
        <w:suppressAutoHyphens/>
      </w:pPr>
    </w:p>
    <w:p w:rsidR="00FA6B38" w:rsidRDefault="00FA6B38" w:rsidP="00FA6B38">
      <w:pPr>
        <w:tabs>
          <w:tab w:val="left" w:pos="-720"/>
        </w:tabs>
        <w:suppressAutoHyphens/>
      </w:pPr>
      <w:r>
        <w:tab/>
        <w:t>Yes.  In order to receive a body, a physician must provide</w:t>
      </w:r>
      <w:r w:rsidR="00385ED1">
        <w:t xml:space="preserve"> to the board or officer surrendering the body</w:t>
      </w:r>
      <w:r>
        <w:t xml:space="preserve"> certification from the county medical society or the county board of supervisors, stating that the physician is fit to receive the body.  The physician must also provide a bond, with two sureties, that </w:t>
      </w:r>
      <w:proofErr w:type="spellStart"/>
      <w:r>
        <w:t>any body</w:t>
      </w:r>
      <w:proofErr w:type="spellEnd"/>
      <w:r>
        <w:t xml:space="preserve"> received will be used only for the promotion of anatomical science within the state of Washington</w:t>
      </w:r>
      <w:r w:rsidR="00376D46">
        <w:t xml:space="preserve"> and in a way that</w:t>
      </w:r>
      <w:r>
        <w:t xml:space="preserve"> will not outrage the public feeling.</w:t>
      </w:r>
      <w:r w:rsidR="00BE798D">
        <w:rPr>
          <w:rStyle w:val="FootnoteReference"/>
        </w:rPr>
        <w:footnoteReference w:id="4"/>
      </w:r>
    </w:p>
    <w:p w:rsidR="00FA6B38" w:rsidRDefault="00FA6B38" w:rsidP="00FA6B38">
      <w:pPr>
        <w:tabs>
          <w:tab w:val="left" w:pos="-720"/>
        </w:tabs>
        <w:suppressAutoHyphens/>
      </w:pPr>
    </w:p>
    <w:p w:rsidR="00FA6B38" w:rsidRDefault="00FA6B38" w:rsidP="00FA6B38">
      <w:pPr>
        <w:tabs>
          <w:tab w:val="left" w:pos="-720"/>
        </w:tabs>
        <w:suppressAutoHyphens/>
      </w:pPr>
      <w:r>
        <w:tab/>
        <w:t>Failure to follow these procedures may result in a fine</w:t>
      </w:r>
      <w:r w:rsidR="00470876">
        <w:t xml:space="preserve"> of up to</w:t>
      </w:r>
      <w:r>
        <w:t xml:space="preserve"> $500.</w:t>
      </w:r>
      <w:r w:rsidR="003E498D">
        <w:rPr>
          <w:rStyle w:val="FootnoteReference"/>
        </w:rPr>
        <w:footnoteReference w:id="5"/>
      </w:r>
    </w:p>
    <w:p w:rsidR="00FA6B38" w:rsidRDefault="00FA6B38" w:rsidP="00FA6B38">
      <w:pPr>
        <w:tabs>
          <w:tab w:val="left" w:pos="-720"/>
        </w:tabs>
        <w:suppressAutoHyphens/>
      </w:pPr>
    </w:p>
    <w:p w:rsidR="00FA6B38" w:rsidRDefault="00FA6B38" w:rsidP="00FA6B38">
      <w:pPr>
        <w:pStyle w:val="Heading2"/>
      </w:pPr>
      <w:r>
        <w:t>Is the improper disposition of human remains a crime?</w:t>
      </w:r>
    </w:p>
    <w:p w:rsidR="00FA6B38" w:rsidRDefault="00FA6B38" w:rsidP="00FA6B38">
      <w:pPr>
        <w:keepNext/>
        <w:keepLines/>
        <w:widowControl w:val="0"/>
        <w:tabs>
          <w:tab w:val="left" w:pos="-720"/>
        </w:tabs>
        <w:suppressAutoHyphens/>
      </w:pPr>
    </w:p>
    <w:p w:rsidR="00FA6B38" w:rsidRDefault="00FA6B38" w:rsidP="00FA6B38">
      <w:pPr>
        <w:keepNext/>
        <w:keepLines/>
        <w:widowControl w:val="0"/>
        <w:tabs>
          <w:tab w:val="left" w:pos="-720"/>
        </w:tabs>
        <w:suppressAutoHyphens/>
      </w:pPr>
      <w:r>
        <w:tab/>
        <w:t>Yes.  It is a crime to:</w:t>
      </w:r>
    </w:p>
    <w:p w:rsidR="00FA6B38" w:rsidRDefault="00FA6B38" w:rsidP="00FA6B38">
      <w:pPr>
        <w:keepNext/>
        <w:keepLines/>
        <w:widowControl w:val="0"/>
        <w:tabs>
          <w:tab w:val="left" w:pos="-720"/>
        </w:tabs>
        <w:suppressAutoHyphens/>
      </w:pPr>
    </w:p>
    <w:p w:rsidR="00FA6B38" w:rsidRDefault="00FA6B38" w:rsidP="00FA6B38">
      <w:pPr>
        <w:pStyle w:val="ListBullet"/>
      </w:pPr>
      <w:r>
        <w:t xml:space="preserve">Fail to notify the coroner of the existence and location of a dead body coming within the jurisdiction of the coroner, unless </w:t>
      </w:r>
      <w:r w:rsidR="00D67D80">
        <w:t>there is</w:t>
      </w:r>
      <w:r>
        <w:t xml:space="preserve"> good reason to believe that the coroner has already been given notice.</w:t>
      </w:r>
      <w:r w:rsidR="00B30305">
        <w:rPr>
          <w:rStyle w:val="FootnoteReference"/>
        </w:rPr>
        <w:footnoteReference w:id="6"/>
      </w:r>
    </w:p>
    <w:p w:rsidR="00FA6B38" w:rsidRDefault="00FA6B38" w:rsidP="00FA6B38">
      <w:pPr>
        <w:tabs>
          <w:tab w:val="left" w:pos="-720"/>
        </w:tabs>
        <w:suppressAutoHyphens/>
      </w:pPr>
    </w:p>
    <w:p w:rsidR="00FA6B38" w:rsidRDefault="00FA6B38" w:rsidP="00FA6B38">
      <w:pPr>
        <w:pStyle w:val="ListBullet"/>
      </w:pPr>
      <w:r>
        <w:lastRenderedPageBreak/>
        <w:t xml:space="preserve">Remove or conceal a body without the approval of </w:t>
      </w:r>
      <w:r w:rsidR="00704944">
        <w:t xml:space="preserve">the deceased’s </w:t>
      </w:r>
      <w:r>
        <w:t>next of kin and/or the coroner.</w:t>
      </w:r>
      <w:r w:rsidR="00C968D2">
        <w:rPr>
          <w:rStyle w:val="FootnoteReference"/>
        </w:rPr>
        <w:footnoteReference w:id="7"/>
      </w:r>
    </w:p>
    <w:p w:rsidR="00FA6B38" w:rsidRDefault="00FA6B38" w:rsidP="00FA6B38">
      <w:pPr>
        <w:tabs>
          <w:tab w:val="left" w:pos="-720"/>
          <w:tab w:val="left" w:pos="0"/>
          <w:tab w:val="left" w:pos="720"/>
        </w:tabs>
        <w:suppressAutoHyphens/>
        <w:ind w:left="1440" w:hanging="1440"/>
      </w:pPr>
    </w:p>
    <w:p w:rsidR="00FA6B38" w:rsidRDefault="00FA6B38" w:rsidP="00FA6B38">
      <w:pPr>
        <w:pStyle w:val="ListBullet"/>
      </w:pPr>
      <w:r>
        <w:t>Detain or threaten to detain a body for any debt or lien.</w:t>
      </w:r>
      <w:r w:rsidR="00161375">
        <w:rPr>
          <w:rStyle w:val="FootnoteReference"/>
        </w:rPr>
        <w:footnoteReference w:id="8"/>
      </w:r>
    </w:p>
    <w:p w:rsidR="00FA6B38" w:rsidRDefault="00FA6B38" w:rsidP="00FA6B38">
      <w:pPr>
        <w:tabs>
          <w:tab w:val="left" w:pos="-720"/>
        </w:tabs>
        <w:suppressAutoHyphens/>
      </w:pPr>
    </w:p>
    <w:p w:rsidR="00FA6B38" w:rsidRDefault="00FA6B38" w:rsidP="00FA6B38">
      <w:pPr>
        <w:pStyle w:val="ListBullet"/>
      </w:pPr>
      <w:r>
        <w:t>Dissect a body without appropriate authorization.</w:t>
      </w:r>
      <w:r w:rsidR="00840066">
        <w:rPr>
          <w:rStyle w:val="FootnoteReference"/>
        </w:rPr>
        <w:footnoteReference w:id="9"/>
      </w:r>
    </w:p>
    <w:p w:rsidR="00F4083F" w:rsidRDefault="00F4083F" w:rsidP="00F4083F"/>
    <w:p w:rsidR="00F4083F" w:rsidRDefault="00F4083F" w:rsidP="00F4083F">
      <w:pPr>
        <w:pStyle w:val="ListParagraph"/>
        <w:numPr>
          <w:ilvl w:val="0"/>
          <w:numId w:val="2"/>
        </w:numPr>
      </w:pPr>
      <w:r>
        <w:t>Unlawfully dispose of human remains.</w:t>
      </w:r>
      <w:r>
        <w:rPr>
          <w:rStyle w:val="FootnoteReference"/>
        </w:rPr>
        <w:footnoteReference w:id="10"/>
      </w:r>
    </w:p>
    <w:p w:rsidR="00F4083F" w:rsidRDefault="00F4083F" w:rsidP="00F4083F">
      <w:pPr>
        <w:pStyle w:val="ListParagraph"/>
      </w:pPr>
    </w:p>
    <w:p w:rsidR="00F4083F" w:rsidRPr="00F4083F" w:rsidRDefault="00F4083F" w:rsidP="00F4083F">
      <w:pPr>
        <w:pStyle w:val="ListParagraph"/>
        <w:numPr>
          <w:ilvl w:val="0"/>
          <w:numId w:val="2"/>
        </w:numPr>
      </w:pPr>
      <w:r>
        <w:t>Unlawfully disturb, remove, or sell human remains.</w:t>
      </w:r>
      <w:r>
        <w:rPr>
          <w:rStyle w:val="FootnoteReference"/>
        </w:rPr>
        <w:footnoteReference w:id="11"/>
      </w:r>
    </w:p>
    <w:p w:rsidR="00FA6B38" w:rsidRDefault="00FA6B38" w:rsidP="00FA6B38">
      <w:pPr>
        <w:tabs>
          <w:tab w:val="left" w:pos="-720"/>
        </w:tabs>
        <w:suppressAutoHyphens/>
      </w:pPr>
    </w:p>
    <w:p w:rsidR="00FA6B38" w:rsidRDefault="00FA6B38" w:rsidP="00FA6B38">
      <w:pPr>
        <w:pStyle w:val="Heading2"/>
      </w:pPr>
      <w:r>
        <w:t>When does the coroner have jurisdiction over a body?</w:t>
      </w:r>
    </w:p>
    <w:p w:rsidR="00F4083F" w:rsidRDefault="00F4083F" w:rsidP="00F4083F"/>
    <w:p w:rsidR="00F4083F" w:rsidRPr="00F4083F" w:rsidRDefault="00F4083F" w:rsidP="00F4083F">
      <w:r>
        <w:tab/>
        <w:t>A coroner has jurisdiction over a body:</w:t>
      </w:r>
      <w:r w:rsidRPr="00F4083F">
        <w:rPr>
          <w:rStyle w:val="FootnoteReference"/>
        </w:rPr>
        <w:t xml:space="preserve"> </w:t>
      </w:r>
      <w:r>
        <w:rPr>
          <w:rStyle w:val="FootnoteReference"/>
        </w:rPr>
        <w:footnoteReference w:id="12"/>
      </w:r>
    </w:p>
    <w:p w:rsidR="00FA6B38" w:rsidRDefault="00FA6B38" w:rsidP="00FA6B38">
      <w:pPr>
        <w:keepNext/>
        <w:keepLines/>
        <w:widowControl w:val="0"/>
        <w:tabs>
          <w:tab w:val="left" w:pos="-720"/>
        </w:tabs>
        <w:suppressAutoHyphens/>
      </w:pPr>
    </w:p>
    <w:p w:rsidR="00FA6B38" w:rsidRDefault="00FA6B38" w:rsidP="00FA6B38">
      <w:pPr>
        <w:pStyle w:val="ListBullet"/>
      </w:pPr>
      <w:r>
        <w:t>When the deceased person came to death suddenly while in apparent good health without medical attendance within the 36 hours preceding death.</w:t>
      </w:r>
    </w:p>
    <w:p w:rsidR="00FA6B38" w:rsidRDefault="00FA6B38" w:rsidP="00FA6B38">
      <w:pPr>
        <w:tabs>
          <w:tab w:val="left" w:pos="-720"/>
        </w:tabs>
        <w:suppressAutoHyphens/>
      </w:pPr>
    </w:p>
    <w:p w:rsidR="00FA6B38" w:rsidRDefault="00FA6B38" w:rsidP="00FA6B38">
      <w:pPr>
        <w:pStyle w:val="ListBullet"/>
      </w:pPr>
      <w:r>
        <w:t>When the circumstances of death indicate that death was caused by unnatural or unlawful means.</w:t>
      </w:r>
    </w:p>
    <w:p w:rsidR="00FA6B38" w:rsidRDefault="00FA6B38" w:rsidP="00FA6B38">
      <w:pPr>
        <w:tabs>
          <w:tab w:val="left" w:pos="-720"/>
        </w:tabs>
        <w:suppressAutoHyphens/>
      </w:pPr>
    </w:p>
    <w:p w:rsidR="00FA6B38" w:rsidRDefault="00FA6B38" w:rsidP="00FA6B38">
      <w:pPr>
        <w:pStyle w:val="ListBullet"/>
      </w:pPr>
      <w:r>
        <w:t>When death occurs under suspicious circumstances.</w:t>
      </w:r>
    </w:p>
    <w:p w:rsidR="00FA6B38" w:rsidRDefault="00FA6B38" w:rsidP="00FA6B38">
      <w:pPr>
        <w:tabs>
          <w:tab w:val="left" w:pos="-720"/>
        </w:tabs>
        <w:suppressAutoHyphens/>
      </w:pPr>
    </w:p>
    <w:p w:rsidR="00FA6B38" w:rsidRDefault="00FA6B38" w:rsidP="00FA6B38">
      <w:pPr>
        <w:pStyle w:val="ListBullet"/>
      </w:pPr>
      <w:r>
        <w:t>When a coroner’s autopsy, inquest or postmortem is to be held.</w:t>
      </w:r>
    </w:p>
    <w:p w:rsidR="00FA6B38" w:rsidRDefault="00FA6B38" w:rsidP="00FA6B38">
      <w:pPr>
        <w:tabs>
          <w:tab w:val="left" w:pos="-720"/>
        </w:tabs>
        <w:suppressAutoHyphens/>
      </w:pPr>
    </w:p>
    <w:p w:rsidR="00FA6B38" w:rsidRDefault="00FA6B38" w:rsidP="00FA6B38">
      <w:pPr>
        <w:pStyle w:val="ListBullet"/>
      </w:pPr>
      <w:r>
        <w:t>When death results from unknown or obscure causes.</w:t>
      </w:r>
    </w:p>
    <w:p w:rsidR="00FA6B38" w:rsidRDefault="00FA6B38" w:rsidP="00FA6B38">
      <w:pPr>
        <w:tabs>
          <w:tab w:val="left" w:pos="-720"/>
        </w:tabs>
        <w:suppressAutoHyphens/>
      </w:pPr>
    </w:p>
    <w:p w:rsidR="00FA6B38" w:rsidRDefault="00FA6B38" w:rsidP="00FA6B38">
      <w:pPr>
        <w:pStyle w:val="ListBullet"/>
      </w:pPr>
      <w:r>
        <w:t>When death occurs within one year following an accident.</w:t>
      </w:r>
    </w:p>
    <w:p w:rsidR="00FA6B38" w:rsidRDefault="00FA6B38" w:rsidP="00FA6B38">
      <w:pPr>
        <w:tabs>
          <w:tab w:val="left" w:pos="-720"/>
        </w:tabs>
        <w:suppressAutoHyphens/>
      </w:pPr>
    </w:p>
    <w:p w:rsidR="00FA6B38" w:rsidRDefault="00FA6B38" w:rsidP="00FA6B38">
      <w:pPr>
        <w:pStyle w:val="ListBullet"/>
      </w:pPr>
      <w:r>
        <w:t>When death is caused by any violence whatsoever.</w:t>
      </w:r>
    </w:p>
    <w:p w:rsidR="00FA6B38" w:rsidRDefault="00FA6B38" w:rsidP="00FA6B38">
      <w:pPr>
        <w:tabs>
          <w:tab w:val="left" w:pos="-720"/>
        </w:tabs>
        <w:suppressAutoHyphens/>
      </w:pPr>
    </w:p>
    <w:p w:rsidR="00FA6B38" w:rsidRDefault="00FA6B38" w:rsidP="00FA6B38">
      <w:pPr>
        <w:pStyle w:val="ListBullet"/>
      </w:pPr>
      <w:r>
        <w:t>When death results from a known or suspected abortion, whether self</w:t>
      </w:r>
      <w:r>
        <w:noBreakHyphen/>
        <w:t>induced or otherwise.</w:t>
      </w:r>
    </w:p>
    <w:p w:rsidR="00FA6B38" w:rsidRDefault="00FA6B38" w:rsidP="00FA6B38">
      <w:pPr>
        <w:tabs>
          <w:tab w:val="left" w:pos="-720"/>
        </w:tabs>
        <w:suppressAutoHyphens/>
      </w:pPr>
    </w:p>
    <w:p w:rsidR="00FA6B38" w:rsidRDefault="00FA6B38" w:rsidP="00FA6B38">
      <w:pPr>
        <w:pStyle w:val="ListBullet"/>
      </w:pPr>
      <w:r>
        <w:t>When death apparently results from drowning, hanging, burns, electrocution, gunshot wounds, stabs or cuts, lightning, starvation, radiation, exposure, alcoholism, narcotics or other addictions, tetanus, strangulation, suffocation or smothering.</w:t>
      </w:r>
    </w:p>
    <w:p w:rsidR="00FA6B38" w:rsidRDefault="00FA6B38" w:rsidP="00FA6B38">
      <w:pPr>
        <w:tabs>
          <w:tab w:val="left" w:pos="-720"/>
        </w:tabs>
        <w:suppressAutoHyphens/>
      </w:pPr>
    </w:p>
    <w:p w:rsidR="00FA6B38" w:rsidRDefault="00FA6B38" w:rsidP="00FA6B38">
      <w:pPr>
        <w:pStyle w:val="ListBullet"/>
      </w:pPr>
      <w:r>
        <w:t>When death is due to still birth or premature birth.</w:t>
      </w:r>
    </w:p>
    <w:p w:rsidR="00FA6B38" w:rsidRDefault="00FA6B38" w:rsidP="00FA6B38">
      <w:pPr>
        <w:tabs>
          <w:tab w:val="left" w:pos="-720"/>
        </w:tabs>
        <w:suppressAutoHyphens/>
      </w:pPr>
      <w:bookmarkStart w:id="1" w:name="_GoBack"/>
      <w:bookmarkEnd w:id="1"/>
    </w:p>
    <w:p w:rsidR="00FA6B38" w:rsidRDefault="00FA6B38" w:rsidP="00FA6B38">
      <w:pPr>
        <w:pStyle w:val="ListBullet"/>
      </w:pPr>
      <w:r>
        <w:lastRenderedPageBreak/>
        <w:t xml:space="preserve">When death is due to a violent contagious disease or suspected contagious disease which may be a </w:t>
      </w:r>
      <w:r w:rsidR="00D56492">
        <w:t xml:space="preserve">public </w:t>
      </w:r>
      <w:r>
        <w:t>health hazard.</w:t>
      </w:r>
    </w:p>
    <w:p w:rsidR="00FA6B38" w:rsidRDefault="00FA6B38" w:rsidP="00FA6B38">
      <w:pPr>
        <w:tabs>
          <w:tab w:val="left" w:pos="-720"/>
        </w:tabs>
        <w:suppressAutoHyphens/>
      </w:pPr>
    </w:p>
    <w:p w:rsidR="00FA6B38" w:rsidRDefault="00FA6B38" w:rsidP="00FA6B38">
      <w:pPr>
        <w:pStyle w:val="ListBullet"/>
      </w:pPr>
      <w:r>
        <w:t>When, in jail or prison, death results from alleged rape, carnal knowledge or sodomy.</w:t>
      </w:r>
    </w:p>
    <w:p w:rsidR="00FA6B38" w:rsidRDefault="00FA6B38" w:rsidP="00FA6B38">
      <w:pPr>
        <w:tabs>
          <w:tab w:val="left" w:pos="-720"/>
        </w:tabs>
        <w:suppressAutoHyphens/>
      </w:pPr>
    </w:p>
    <w:p w:rsidR="00FA6B38" w:rsidRDefault="00FA6B38" w:rsidP="00FA6B38">
      <w:pPr>
        <w:pStyle w:val="ListBullet"/>
      </w:pPr>
      <w:r>
        <w:t>When a body is found dead and not claimed by relatives or friends.</w:t>
      </w:r>
    </w:p>
    <w:p w:rsidR="00FA6B38" w:rsidRDefault="00FA6B38" w:rsidP="00FA6B38">
      <w:pPr>
        <w:tabs>
          <w:tab w:val="left" w:pos="-720"/>
        </w:tabs>
        <w:suppressAutoHyphens/>
      </w:pPr>
    </w:p>
    <w:p w:rsidR="00FA6B38" w:rsidRDefault="00FA6B38" w:rsidP="00FA6B38">
      <w:pPr>
        <w:pStyle w:val="Heading2"/>
      </w:pPr>
      <w:r>
        <w:t>Is an autopsy required for every dead human body?</w:t>
      </w:r>
    </w:p>
    <w:p w:rsidR="00FA6B38" w:rsidRDefault="00FA6B38" w:rsidP="00FA6B38">
      <w:pPr>
        <w:keepNext/>
        <w:keepLines/>
        <w:widowControl w:val="0"/>
        <w:tabs>
          <w:tab w:val="left" w:pos="-720"/>
        </w:tabs>
        <w:suppressAutoHyphens/>
      </w:pPr>
    </w:p>
    <w:p w:rsidR="00C735DD" w:rsidRDefault="00FA6B38" w:rsidP="00FA6B38">
      <w:r>
        <w:tab/>
        <w:t xml:space="preserve">No.  </w:t>
      </w:r>
      <w:proofErr w:type="gramStart"/>
      <w:r>
        <w:rPr>
          <w:u w:val="single"/>
        </w:rPr>
        <w:t>See</w:t>
      </w:r>
      <w:r>
        <w:t xml:space="preserve"> </w:t>
      </w:r>
      <w:r>
        <w:rPr>
          <w:b/>
        </w:rPr>
        <w:t>AUTOPSIES AND POSTMORTEMS</w:t>
      </w:r>
      <w:r>
        <w:t>.</w:t>
      </w:r>
      <w:proofErr w:type="gramEnd"/>
    </w:p>
    <w:p w:rsidR="00A76CDA" w:rsidRDefault="00A76CDA" w:rsidP="00FA6B38"/>
    <w:p w:rsidR="00A76CDA" w:rsidRDefault="00A76CDA" w:rsidP="00FA6B38"/>
    <w:sectPr w:rsidR="00A76CDA" w:rsidSect="008A7E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5DD" w:rsidRDefault="00C735DD" w:rsidP="00D90BA2">
      <w:r>
        <w:separator/>
      </w:r>
    </w:p>
  </w:endnote>
  <w:endnote w:type="continuationSeparator" w:id="0">
    <w:p w:rsidR="00C735DD" w:rsidRDefault="00C735DD" w:rsidP="00D90B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5DD" w:rsidRDefault="00C735DD" w:rsidP="00D90BA2">
      <w:r>
        <w:separator/>
      </w:r>
    </w:p>
  </w:footnote>
  <w:footnote w:type="continuationSeparator" w:id="0">
    <w:p w:rsidR="00C735DD" w:rsidRDefault="00C735DD" w:rsidP="00D90BA2">
      <w:r>
        <w:continuationSeparator/>
      </w:r>
    </w:p>
  </w:footnote>
  <w:footnote w:id="1">
    <w:p w:rsidR="00C735DD" w:rsidRDefault="00C735DD">
      <w:pPr>
        <w:pStyle w:val="FootnoteText"/>
      </w:pPr>
      <w:r>
        <w:rPr>
          <w:rStyle w:val="FootnoteReference"/>
        </w:rPr>
        <w:footnoteRef/>
      </w:r>
      <w:r>
        <w:t xml:space="preserve"> </w:t>
      </w:r>
      <w:proofErr w:type="gramStart"/>
      <w:r>
        <w:t>RCW 68.50.060.</w:t>
      </w:r>
      <w:proofErr w:type="gramEnd"/>
    </w:p>
  </w:footnote>
  <w:footnote w:id="2">
    <w:p w:rsidR="00C735DD" w:rsidRDefault="00C735DD">
      <w:pPr>
        <w:pStyle w:val="FootnoteText"/>
      </w:pPr>
      <w:r>
        <w:rPr>
          <w:rStyle w:val="FootnoteReference"/>
        </w:rPr>
        <w:footnoteRef/>
      </w:r>
      <w:r>
        <w:t xml:space="preserve"> RCW 68.50.070(1</w:t>
      </w:r>
      <w:proofErr w:type="gramStart"/>
      <w:r>
        <w:t>)(</w:t>
      </w:r>
      <w:proofErr w:type="gramEnd"/>
      <w:r>
        <w:t>a).</w:t>
      </w:r>
    </w:p>
  </w:footnote>
  <w:footnote w:id="3">
    <w:p w:rsidR="00C735DD" w:rsidRDefault="00C735DD">
      <w:pPr>
        <w:pStyle w:val="FootnoteText"/>
      </w:pPr>
      <w:r>
        <w:rPr>
          <w:rStyle w:val="FootnoteReference"/>
        </w:rPr>
        <w:footnoteRef/>
      </w:r>
      <w:r>
        <w:t xml:space="preserve"> RCW 68.64.100(1</w:t>
      </w:r>
      <w:proofErr w:type="gramStart"/>
      <w:r>
        <w:t>)(</w:t>
      </w:r>
      <w:proofErr w:type="gramEnd"/>
      <w:r>
        <w:t>a).</w:t>
      </w:r>
    </w:p>
  </w:footnote>
  <w:footnote w:id="4">
    <w:p w:rsidR="00C735DD" w:rsidRDefault="00C735DD">
      <w:pPr>
        <w:pStyle w:val="FootnoteText"/>
      </w:pPr>
      <w:r>
        <w:rPr>
          <w:rStyle w:val="FootnoteReference"/>
        </w:rPr>
        <w:footnoteRef/>
      </w:r>
      <w:r>
        <w:t xml:space="preserve"> </w:t>
      </w:r>
      <w:proofErr w:type="gramStart"/>
      <w:r>
        <w:t>RCW 68.50.080.</w:t>
      </w:r>
      <w:proofErr w:type="gramEnd"/>
    </w:p>
  </w:footnote>
  <w:footnote w:id="5">
    <w:p w:rsidR="00C735DD" w:rsidRDefault="00C735DD">
      <w:pPr>
        <w:pStyle w:val="FootnoteText"/>
      </w:pPr>
      <w:r>
        <w:rPr>
          <w:rStyle w:val="FootnoteReference"/>
        </w:rPr>
        <w:footnoteRef/>
      </w:r>
      <w:r>
        <w:t xml:space="preserve"> </w:t>
      </w:r>
      <w:proofErr w:type="gramStart"/>
      <w:r>
        <w:t>RCW 68.50.090.</w:t>
      </w:r>
      <w:proofErr w:type="gramEnd"/>
    </w:p>
  </w:footnote>
  <w:footnote w:id="6">
    <w:p w:rsidR="00C735DD" w:rsidRDefault="00C735DD">
      <w:pPr>
        <w:pStyle w:val="FootnoteText"/>
      </w:pPr>
      <w:r>
        <w:rPr>
          <w:rStyle w:val="FootnoteReference"/>
        </w:rPr>
        <w:footnoteRef/>
      </w:r>
      <w:r>
        <w:t xml:space="preserve"> </w:t>
      </w:r>
      <w:proofErr w:type="gramStart"/>
      <w:r>
        <w:t>RCW 68.50.020.</w:t>
      </w:r>
      <w:proofErr w:type="gramEnd"/>
      <w:r>
        <w:t xml:space="preserve">  See also </w:t>
      </w:r>
      <w:r>
        <w:t xml:space="preserve">RCW </w:t>
      </w:r>
      <w:r>
        <w:t>68.50.645.</w:t>
      </w:r>
    </w:p>
  </w:footnote>
  <w:footnote w:id="7">
    <w:p w:rsidR="00C735DD" w:rsidRDefault="00C735DD">
      <w:pPr>
        <w:pStyle w:val="FootnoteText"/>
      </w:pPr>
      <w:r>
        <w:rPr>
          <w:rStyle w:val="FootnoteReference"/>
        </w:rPr>
        <w:footnoteRef/>
      </w:r>
      <w:r>
        <w:t xml:space="preserve"> </w:t>
      </w:r>
      <w:proofErr w:type="gramStart"/>
      <w:r>
        <w:t>RCW 68.50.050.</w:t>
      </w:r>
      <w:proofErr w:type="gramEnd"/>
    </w:p>
  </w:footnote>
  <w:footnote w:id="8">
    <w:p w:rsidR="00C735DD" w:rsidRDefault="00C735DD">
      <w:pPr>
        <w:pStyle w:val="FootnoteText"/>
      </w:pPr>
      <w:r>
        <w:rPr>
          <w:rStyle w:val="FootnoteReference"/>
        </w:rPr>
        <w:footnoteRef/>
      </w:r>
      <w:r>
        <w:t xml:space="preserve"> </w:t>
      </w:r>
      <w:proofErr w:type="gramStart"/>
      <w:r>
        <w:t>RCW 68.50.120.</w:t>
      </w:r>
      <w:proofErr w:type="gramEnd"/>
    </w:p>
  </w:footnote>
  <w:footnote w:id="9">
    <w:p w:rsidR="00C735DD" w:rsidRDefault="00C735DD">
      <w:pPr>
        <w:pStyle w:val="FootnoteText"/>
      </w:pPr>
      <w:r>
        <w:rPr>
          <w:rStyle w:val="FootnoteReference"/>
        </w:rPr>
        <w:footnoteRef/>
      </w:r>
      <w:r>
        <w:t xml:space="preserve"> </w:t>
      </w:r>
      <w:proofErr w:type="gramStart"/>
      <w:r>
        <w:t>RCW 68.50.100.</w:t>
      </w:r>
      <w:proofErr w:type="gramEnd"/>
    </w:p>
  </w:footnote>
  <w:footnote w:id="10">
    <w:p w:rsidR="00F4083F" w:rsidRDefault="00F4083F">
      <w:pPr>
        <w:pStyle w:val="FootnoteText"/>
      </w:pPr>
      <w:r>
        <w:rPr>
          <w:rStyle w:val="FootnoteReference"/>
        </w:rPr>
        <w:footnoteRef/>
      </w:r>
      <w:r>
        <w:t xml:space="preserve"> </w:t>
      </w:r>
      <w:proofErr w:type="gramStart"/>
      <w:r>
        <w:t>RCW 68.50.130.</w:t>
      </w:r>
      <w:proofErr w:type="gramEnd"/>
    </w:p>
  </w:footnote>
  <w:footnote w:id="11">
    <w:p w:rsidR="00F4083F" w:rsidRDefault="00F4083F">
      <w:pPr>
        <w:pStyle w:val="FootnoteText"/>
      </w:pPr>
      <w:r>
        <w:rPr>
          <w:rStyle w:val="FootnoteReference"/>
        </w:rPr>
        <w:footnoteRef/>
      </w:r>
      <w:r>
        <w:t xml:space="preserve"> </w:t>
      </w:r>
      <w:proofErr w:type="gramStart"/>
      <w:r>
        <w:t>RCW 68.50.140.</w:t>
      </w:r>
      <w:proofErr w:type="gramEnd"/>
    </w:p>
  </w:footnote>
  <w:footnote w:id="12">
    <w:p w:rsidR="00F4083F" w:rsidRDefault="00F4083F" w:rsidP="00F4083F">
      <w:pPr>
        <w:pStyle w:val="FootnoteText"/>
      </w:pPr>
      <w:r>
        <w:rPr>
          <w:rStyle w:val="FootnoteReference"/>
        </w:rPr>
        <w:footnoteRef/>
      </w:r>
      <w:r>
        <w:t xml:space="preserve"> </w:t>
      </w:r>
      <w:proofErr w:type="gramStart"/>
      <w:r>
        <w:t>RCW 68.50.010.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526BA"/>
    <w:multiLevelType w:val="hybridMultilevel"/>
    <w:tmpl w:val="C4C6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FA6B38"/>
    <w:rsid w:val="000224FA"/>
    <w:rsid w:val="00071634"/>
    <w:rsid w:val="000A7805"/>
    <w:rsid w:val="000E3FB1"/>
    <w:rsid w:val="00124FF1"/>
    <w:rsid w:val="00127272"/>
    <w:rsid w:val="00161375"/>
    <w:rsid w:val="00195A09"/>
    <w:rsid w:val="001D569E"/>
    <w:rsid w:val="002638BC"/>
    <w:rsid w:val="002E4BE8"/>
    <w:rsid w:val="002F73CF"/>
    <w:rsid w:val="003437D6"/>
    <w:rsid w:val="00362C0C"/>
    <w:rsid w:val="00365ADE"/>
    <w:rsid w:val="00376D46"/>
    <w:rsid w:val="00385ED1"/>
    <w:rsid w:val="00386D57"/>
    <w:rsid w:val="003923BE"/>
    <w:rsid w:val="003E498D"/>
    <w:rsid w:val="00450580"/>
    <w:rsid w:val="00467C52"/>
    <w:rsid w:val="00470876"/>
    <w:rsid w:val="004B60DB"/>
    <w:rsid w:val="005036E4"/>
    <w:rsid w:val="005166E7"/>
    <w:rsid w:val="00544ED2"/>
    <w:rsid w:val="00586160"/>
    <w:rsid w:val="00620C3F"/>
    <w:rsid w:val="006250AC"/>
    <w:rsid w:val="006301BB"/>
    <w:rsid w:val="0064782F"/>
    <w:rsid w:val="00695E15"/>
    <w:rsid w:val="00704944"/>
    <w:rsid w:val="00707350"/>
    <w:rsid w:val="00710B76"/>
    <w:rsid w:val="007D30C3"/>
    <w:rsid w:val="00814C1B"/>
    <w:rsid w:val="00840066"/>
    <w:rsid w:val="00845663"/>
    <w:rsid w:val="00861867"/>
    <w:rsid w:val="008A7E06"/>
    <w:rsid w:val="008B50C6"/>
    <w:rsid w:val="008F260B"/>
    <w:rsid w:val="0096080D"/>
    <w:rsid w:val="009711A6"/>
    <w:rsid w:val="00984521"/>
    <w:rsid w:val="0098506F"/>
    <w:rsid w:val="009B504C"/>
    <w:rsid w:val="009E435F"/>
    <w:rsid w:val="009F452D"/>
    <w:rsid w:val="00A13805"/>
    <w:rsid w:val="00A16869"/>
    <w:rsid w:val="00A21300"/>
    <w:rsid w:val="00A356F1"/>
    <w:rsid w:val="00A76CDA"/>
    <w:rsid w:val="00A85F32"/>
    <w:rsid w:val="00AA62C7"/>
    <w:rsid w:val="00AD6BAE"/>
    <w:rsid w:val="00B12E9E"/>
    <w:rsid w:val="00B30305"/>
    <w:rsid w:val="00B4307D"/>
    <w:rsid w:val="00BA20C9"/>
    <w:rsid w:val="00BD67D9"/>
    <w:rsid w:val="00BE798D"/>
    <w:rsid w:val="00C735DD"/>
    <w:rsid w:val="00C800F8"/>
    <w:rsid w:val="00C968D2"/>
    <w:rsid w:val="00CA4588"/>
    <w:rsid w:val="00CF74CF"/>
    <w:rsid w:val="00D22F24"/>
    <w:rsid w:val="00D30E41"/>
    <w:rsid w:val="00D56492"/>
    <w:rsid w:val="00D668A9"/>
    <w:rsid w:val="00D67D80"/>
    <w:rsid w:val="00D71EC0"/>
    <w:rsid w:val="00D87929"/>
    <w:rsid w:val="00D90BA2"/>
    <w:rsid w:val="00F07865"/>
    <w:rsid w:val="00F178B3"/>
    <w:rsid w:val="00F3467D"/>
    <w:rsid w:val="00F4083F"/>
    <w:rsid w:val="00F8528C"/>
    <w:rsid w:val="00FA6B38"/>
    <w:rsid w:val="00FB150F"/>
    <w:rsid w:val="00FC6F7F"/>
    <w:rsid w:val="00FD3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38"/>
    <w:pPr>
      <w:jc w:val="both"/>
    </w:pPr>
    <w:rPr>
      <w:rFonts w:eastAsia="Times New Roman" w:cs="Times New Roman"/>
      <w:snapToGrid w:val="0"/>
      <w:szCs w:val="20"/>
    </w:rPr>
  </w:style>
  <w:style w:type="paragraph" w:styleId="Heading1">
    <w:name w:val="heading 1"/>
    <w:basedOn w:val="Normal"/>
    <w:next w:val="Normal"/>
    <w:link w:val="Heading1Char"/>
    <w:qFormat/>
    <w:rsid w:val="00FA6B38"/>
    <w:pPr>
      <w:keepNext/>
      <w:keepLines/>
      <w:widowControl w:val="0"/>
      <w:jc w:val="center"/>
      <w:outlineLvl w:val="0"/>
    </w:pPr>
    <w:rPr>
      <w:b/>
      <w:kern w:val="28"/>
    </w:rPr>
  </w:style>
  <w:style w:type="paragraph" w:styleId="Heading2">
    <w:name w:val="heading 2"/>
    <w:basedOn w:val="Normal"/>
    <w:next w:val="Normal"/>
    <w:link w:val="Heading2Char"/>
    <w:qFormat/>
    <w:rsid w:val="00FA6B3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6B38"/>
    <w:rPr>
      <w:rFonts w:eastAsia="Times New Roman" w:cs="Times New Roman"/>
      <w:b/>
      <w:snapToGrid w:val="0"/>
      <w:kern w:val="28"/>
      <w:szCs w:val="20"/>
    </w:rPr>
  </w:style>
  <w:style w:type="character" w:customStyle="1" w:styleId="Heading2Char">
    <w:name w:val="Heading 2 Char"/>
    <w:basedOn w:val="DefaultParagraphFont"/>
    <w:link w:val="Heading2"/>
    <w:rsid w:val="00FA6B38"/>
    <w:rPr>
      <w:rFonts w:eastAsia="Times New Roman" w:cs="Times New Roman"/>
      <w:b/>
      <w:snapToGrid w:val="0"/>
      <w:szCs w:val="20"/>
    </w:rPr>
  </w:style>
  <w:style w:type="paragraph" w:styleId="ListBullet">
    <w:name w:val="List Bullet"/>
    <w:basedOn w:val="Normal"/>
    <w:next w:val="Normal"/>
    <w:autoRedefine/>
    <w:semiHidden/>
    <w:rsid w:val="00FA6B38"/>
    <w:pPr>
      <w:numPr>
        <w:numId w:val="1"/>
      </w:numPr>
    </w:pPr>
  </w:style>
  <w:style w:type="paragraph" w:styleId="FootnoteText">
    <w:name w:val="footnote text"/>
    <w:basedOn w:val="Normal"/>
    <w:link w:val="FootnoteTextChar"/>
    <w:uiPriority w:val="99"/>
    <w:semiHidden/>
    <w:unhideWhenUsed/>
    <w:rsid w:val="00D90BA2"/>
    <w:rPr>
      <w:sz w:val="20"/>
    </w:rPr>
  </w:style>
  <w:style w:type="character" w:customStyle="1" w:styleId="FootnoteTextChar">
    <w:name w:val="Footnote Text Char"/>
    <w:basedOn w:val="DefaultParagraphFont"/>
    <w:link w:val="FootnoteText"/>
    <w:uiPriority w:val="99"/>
    <w:semiHidden/>
    <w:rsid w:val="00D90BA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D90BA2"/>
    <w:rPr>
      <w:vertAlign w:val="superscript"/>
    </w:rPr>
  </w:style>
  <w:style w:type="character" w:styleId="CommentReference">
    <w:name w:val="annotation reference"/>
    <w:basedOn w:val="DefaultParagraphFont"/>
    <w:uiPriority w:val="99"/>
    <w:semiHidden/>
    <w:unhideWhenUsed/>
    <w:rsid w:val="00071634"/>
    <w:rPr>
      <w:sz w:val="16"/>
      <w:szCs w:val="16"/>
    </w:rPr>
  </w:style>
  <w:style w:type="paragraph" w:styleId="CommentText">
    <w:name w:val="annotation text"/>
    <w:basedOn w:val="Normal"/>
    <w:link w:val="CommentTextChar"/>
    <w:uiPriority w:val="99"/>
    <w:semiHidden/>
    <w:unhideWhenUsed/>
    <w:rsid w:val="00071634"/>
    <w:rPr>
      <w:sz w:val="20"/>
    </w:rPr>
  </w:style>
  <w:style w:type="character" w:customStyle="1" w:styleId="CommentTextChar">
    <w:name w:val="Comment Text Char"/>
    <w:basedOn w:val="DefaultParagraphFont"/>
    <w:link w:val="CommentText"/>
    <w:uiPriority w:val="99"/>
    <w:semiHidden/>
    <w:rsid w:val="00071634"/>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071634"/>
    <w:rPr>
      <w:b/>
      <w:bCs/>
    </w:rPr>
  </w:style>
  <w:style w:type="character" w:customStyle="1" w:styleId="CommentSubjectChar">
    <w:name w:val="Comment Subject Char"/>
    <w:basedOn w:val="CommentTextChar"/>
    <w:link w:val="CommentSubject"/>
    <w:uiPriority w:val="99"/>
    <w:semiHidden/>
    <w:rsid w:val="00071634"/>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071634"/>
    <w:rPr>
      <w:rFonts w:ascii="Tahoma" w:hAnsi="Tahoma" w:cs="Tahoma"/>
      <w:sz w:val="16"/>
      <w:szCs w:val="16"/>
    </w:rPr>
  </w:style>
  <w:style w:type="character" w:customStyle="1" w:styleId="BalloonTextChar">
    <w:name w:val="Balloon Text Char"/>
    <w:basedOn w:val="DefaultParagraphFont"/>
    <w:link w:val="BalloonText"/>
    <w:uiPriority w:val="99"/>
    <w:semiHidden/>
    <w:rsid w:val="00071634"/>
    <w:rPr>
      <w:rFonts w:ascii="Tahoma" w:eastAsia="Times New Roman" w:hAnsi="Tahoma" w:cs="Tahoma"/>
      <w:snapToGrid w:val="0"/>
      <w:sz w:val="16"/>
      <w:szCs w:val="16"/>
    </w:rPr>
  </w:style>
  <w:style w:type="paragraph" w:styleId="ListParagraph">
    <w:name w:val="List Paragraph"/>
    <w:basedOn w:val="Normal"/>
    <w:uiPriority w:val="34"/>
    <w:qFormat/>
    <w:rsid w:val="00F408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38"/>
    <w:pPr>
      <w:jc w:val="both"/>
    </w:pPr>
    <w:rPr>
      <w:rFonts w:eastAsia="Times New Roman" w:cs="Times New Roman"/>
      <w:snapToGrid w:val="0"/>
      <w:szCs w:val="20"/>
    </w:rPr>
  </w:style>
  <w:style w:type="paragraph" w:styleId="Heading1">
    <w:name w:val="heading 1"/>
    <w:basedOn w:val="Normal"/>
    <w:next w:val="Normal"/>
    <w:link w:val="Heading1Char"/>
    <w:qFormat/>
    <w:rsid w:val="00FA6B38"/>
    <w:pPr>
      <w:keepNext/>
      <w:keepLines/>
      <w:widowControl w:val="0"/>
      <w:jc w:val="center"/>
      <w:outlineLvl w:val="0"/>
    </w:pPr>
    <w:rPr>
      <w:b/>
      <w:kern w:val="28"/>
    </w:rPr>
  </w:style>
  <w:style w:type="paragraph" w:styleId="Heading2">
    <w:name w:val="heading 2"/>
    <w:basedOn w:val="Normal"/>
    <w:next w:val="Normal"/>
    <w:link w:val="Heading2Char"/>
    <w:qFormat/>
    <w:rsid w:val="00FA6B3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6B38"/>
    <w:rPr>
      <w:rFonts w:eastAsia="Times New Roman" w:cs="Times New Roman"/>
      <w:b/>
      <w:snapToGrid w:val="0"/>
      <w:kern w:val="28"/>
      <w:szCs w:val="20"/>
    </w:rPr>
  </w:style>
  <w:style w:type="character" w:customStyle="1" w:styleId="Heading2Char">
    <w:name w:val="Heading 2 Char"/>
    <w:basedOn w:val="DefaultParagraphFont"/>
    <w:link w:val="Heading2"/>
    <w:rsid w:val="00FA6B38"/>
    <w:rPr>
      <w:rFonts w:eastAsia="Times New Roman" w:cs="Times New Roman"/>
      <w:b/>
      <w:snapToGrid w:val="0"/>
      <w:szCs w:val="20"/>
    </w:rPr>
  </w:style>
  <w:style w:type="paragraph" w:styleId="ListBullet">
    <w:name w:val="List Bullet"/>
    <w:basedOn w:val="Normal"/>
    <w:next w:val="Normal"/>
    <w:autoRedefine/>
    <w:semiHidden/>
    <w:rsid w:val="00FA6B38"/>
    <w:pPr>
      <w:numPr>
        <w:numId w:val="1"/>
      </w:numPr>
    </w:pPr>
  </w:style>
  <w:style w:type="paragraph" w:styleId="FootnoteText">
    <w:name w:val="footnote text"/>
    <w:basedOn w:val="Normal"/>
    <w:link w:val="FootnoteTextChar"/>
    <w:uiPriority w:val="99"/>
    <w:semiHidden/>
    <w:unhideWhenUsed/>
    <w:rsid w:val="00D90BA2"/>
    <w:rPr>
      <w:sz w:val="20"/>
    </w:rPr>
  </w:style>
  <w:style w:type="character" w:customStyle="1" w:styleId="FootnoteTextChar">
    <w:name w:val="Footnote Text Char"/>
    <w:basedOn w:val="DefaultParagraphFont"/>
    <w:link w:val="FootnoteText"/>
    <w:uiPriority w:val="99"/>
    <w:semiHidden/>
    <w:rsid w:val="00D90BA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D90BA2"/>
    <w:rPr>
      <w:vertAlign w:val="superscript"/>
    </w:rPr>
  </w:style>
  <w:style w:type="character" w:styleId="CommentReference">
    <w:name w:val="annotation reference"/>
    <w:basedOn w:val="DefaultParagraphFont"/>
    <w:uiPriority w:val="99"/>
    <w:semiHidden/>
    <w:unhideWhenUsed/>
    <w:rsid w:val="00071634"/>
    <w:rPr>
      <w:sz w:val="16"/>
      <w:szCs w:val="16"/>
    </w:rPr>
  </w:style>
  <w:style w:type="paragraph" w:styleId="CommentText">
    <w:name w:val="annotation text"/>
    <w:basedOn w:val="Normal"/>
    <w:link w:val="CommentTextChar"/>
    <w:uiPriority w:val="99"/>
    <w:semiHidden/>
    <w:unhideWhenUsed/>
    <w:rsid w:val="00071634"/>
    <w:rPr>
      <w:sz w:val="20"/>
    </w:rPr>
  </w:style>
  <w:style w:type="character" w:customStyle="1" w:styleId="CommentTextChar">
    <w:name w:val="Comment Text Char"/>
    <w:basedOn w:val="DefaultParagraphFont"/>
    <w:link w:val="CommentText"/>
    <w:uiPriority w:val="99"/>
    <w:semiHidden/>
    <w:rsid w:val="00071634"/>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071634"/>
    <w:rPr>
      <w:b/>
      <w:bCs/>
    </w:rPr>
  </w:style>
  <w:style w:type="character" w:customStyle="1" w:styleId="CommentSubjectChar">
    <w:name w:val="Comment Subject Char"/>
    <w:basedOn w:val="CommentTextChar"/>
    <w:link w:val="CommentSubject"/>
    <w:uiPriority w:val="99"/>
    <w:semiHidden/>
    <w:rsid w:val="00071634"/>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071634"/>
    <w:rPr>
      <w:rFonts w:ascii="Tahoma" w:hAnsi="Tahoma" w:cs="Tahoma"/>
      <w:sz w:val="16"/>
      <w:szCs w:val="16"/>
    </w:rPr>
  </w:style>
  <w:style w:type="character" w:customStyle="1" w:styleId="BalloonTextChar">
    <w:name w:val="Balloon Text Char"/>
    <w:basedOn w:val="DefaultParagraphFont"/>
    <w:link w:val="BalloonText"/>
    <w:uiPriority w:val="99"/>
    <w:semiHidden/>
    <w:rsid w:val="00071634"/>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729B7B-DA79-4E77-86DE-27FF678586FA}">
  <ds:schemaRefs>
    <ds:schemaRef ds:uri="http://schemas.openxmlformats.org/officeDocument/2006/bibliography"/>
  </ds:schemaRefs>
</ds:datastoreItem>
</file>

<file path=customXml/itemProps2.xml><?xml version="1.0" encoding="utf-8"?>
<ds:datastoreItem xmlns:ds="http://schemas.openxmlformats.org/officeDocument/2006/customXml" ds:itemID="{5E780CFF-AE38-401D-9A97-DDF42EB29D0A}"/>
</file>

<file path=customXml/itemProps3.xml><?xml version="1.0" encoding="utf-8"?>
<ds:datastoreItem xmlns:ds="http://schemas.openxmlformats.org/officeDocument/2006/customXml" ds:itemID="{C249A4FB-34C9-4AEC-9200-0353A57700D4}"/>
</file>

<file path=customXml/itemProps4.xml><?xml version="1.0" encoding="utf-8"?>
<ds:datastoreItem xmlns:ds="http://schemas.openxmlformats.org/officeDocument/2006/customXml" ds:itemID="{AD77EEB2-86E8-40E0-81F0-569A5A4F91C3}"/>
</file>

<file path=docProps/app.xml><?xml version="1.0" encoding="utf-8"?>
<Properties xmlns="http://schemas.openxmlformats.org/officeDocument/2006/extended-properties" xmlns:vt="http://schemas.openxmlformats.org/officeDocument/2006/docPropsVTypes">
  <Template>Normal.dotm</Template>
  <TotalTime>17</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2012-11-28T00:00:00Z</dcterms:created>
  <dcterms:modified xsi:type="dcterms:W3CDTF">2012-11-28T00:16:00Z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