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343" w:rsidRDefault="00250343" w:rsidP="00250343">
      <w:pPr>
        <w:pStyle w:val="Heading1"/>
      </w:pPr>
      <w:bookmarkStart w:id="0" w:name="_Toc161565696"/>
      <w:r>
        <w:t>MIDWIFERY</w:t>
      </w:r>
      <w:bookmarkEnd w:id="0"/>
    </w:p>
    <w:p w:rsidR="00250343" w:rsidRDefault="00250343" w:rsidP="00250343">
      <w:pPr>
        <w:keepNext/>
        <w:keepLines/>
        <w:widowControl w:val="0"/>
      </w:pPr>
    </w:p>
    <w:p w:rsidR="00250343" w:rsidRDefault="00250343" w:rsidP="00250343">
      <w:pPr>
        <w:keepNext/>
        <w:keepLines/>
        <w:widowControl w:val="0"/>
      </w:pPr>
    </w:p>
    <w:p w:rsidR="00250343" w:rsidRDefault="00250343" w:rsidP="00250343">
      <w:pPr>
        <w:pStyle w:val="Heading2"/>
      </w:pPr>
      <w:r>
        <w:t xml:space="preserve">Does Washington </w:t>
      </w:r>
      <w:proofErr w:type="gramStart"/>
      <w:r>
        <w:t>state</w:t>
      </w:r>
      <w:proofErr w:type="gramEnd"/>
      <w:r>
        <w:t xml:space="preserve"> allow the practice of midwifery?</w:t>
      </w:r>
    </w:p>
    <w:p w:rsidR="00250343" w:rsidRDefault="00250343" w:rsidP="0025034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  <w:r>
        <w:tab/>
        <w:t>Yes.</w:t>
      </w:r>
      <w:r w:rsidR="003D62C2">
        <w:rPr>
          <w:rStyle w:val="FootnoteReference"/>
        </w:rPr>
        <w:footnoteReference w:id="1"/>
      </w:r>
      <w:r>
        <w:t xml:space="preserve">  Individuals practicing midwifery, however, must be licensed by the state.  Registered nurses and certified nurse midwives are exempt from the statutes and regulations regarding licensed midwifery.</w:t>
      </w:r>
      <w:r w:rsidR="00EA2815">
        <w:rPr>
          <w:rStyle w:val="FootnoteReference"/>
        </w:rPr>
        <w:footnoteReference w:id="2"/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Heading2"/>
      </w:pPr>
      <w:r>
        <w:t>What constitutes the practice of midwifery?</w:t>
      </w:r>
    </w:p>
    <w:p w:rsidR="00250343" w:rsidRDefault="00250343" w:rsidP="0025034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  <w:r>
        <w:tab/>
        <w:t xml:space="preserve">The rendering of aid for a fee or compensation to a woman during prenatal, </w:t>
      </w:r>
      <w:proofErr w:type="spellStart"/>
      <w:r>
        <w:t>intrapartum</w:t>
      </w:r>
      <w:proofErr w:type="spellEnd"/>
      <w:r>
        <w:t>, and postpartum stages of pregnancy or the advertisement as a midwife constitutes the practice of midwifery.</w:t>
      </w:r>
      <w:r w:rsidR="00EA2815">
        <w:rPr>
          <w:rStyle w:val="FootnoteReference"/>
        </w:rPr>
        <w:footnoteReference w:id="3"/>
      </w:r>
      <w:r>
        <w:t xml:space="preserve">  A person who provides gratuitous services to pregnant women is not practicing midwifery.</w:t>
      </w:r>
      <w:r w:rsidR="00EA2815">
        <w:rPr>
          <w:rStyle w:val="FootnoteReference"/>
        </w:rPr>
        <w:footnoteReference w:id="4"/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Heading2"/>
      </w:pPr>
      <w:r>
        <w:t>Are there any circumstances under which a licensed midwife must consult with a physician?</w:t>
      </w:r>
    </w:p>
    <w:p w:rsidR="00250343" w:rsidRDefault="00250343" w:rsidP="0025034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  <w:r>
        <w:tab/>
        <w:t>Yes.  Under Washington law, a midwife has a duty to consult with a physician whenever there are significant deviations from normal in either the mother or the infant.</w:t>
      </w:r>
      <w:r w:rsidR="00EA2815">
        <w:rPr>
          <w:rStyle w:val="FootnoteReference"/>
        </w:rPr>
        <w:footnoteReference w:id="5"/>
      </w:r>
      <w:r>
        <w:t xml:space="preserve">  Every licensed midwife must develop a written plan for consultation with other health care practitioners, emergency transfer, transport of an infant to a newborn nursery or neonatal intensive care nursery, and transport of a woman to an appropriate obstetrical department or patient care area.</w:t>
      </w:r>
      <w:r w:rsidR="00EA2815">
        <w:rPr>
          <w:rStyle w:val="FootnoteReference"/>
        </w:rPr>
        <w:footnoteReference w:id="6"/>
      </w:r>
      <w:r>
        <w:t xml:space="preserve">  The written plan must be submitted annually to the Department of Health with the midwife’s license renewal fee.</w:t>
      </w:r>
      <w:r w:rsidR="00EA2815">
        <w:rPr>
          <w:rStyle w:val="FootnoteReference"/>
        </w:rPr>
        <w:footnoteReference w:id="7"/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Heading2"/>
      </w:pPr>
      <w:r>
        <w:t>May a licensed midwife administer drugs or medications?</w:t>
      </w:r>
    </w:p>
    <w:p w:rsidR="00250343" w:rsidRDefault="00250343" w:rsidP="0025034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keepNext/>
        <w:keepLines/>
        <w:widowControl w:val="0"/>
        <w:tabs>
          <w:tab w:val="left" w:pos="-1440"/>
          <w:tab w:val="left" w:pos="-720"/>
        </w:tabs>
        <w:suppressAutoHyphens/>
      </w:pPr>
      <w:r>
        <w:tab/>
        <w:t>Yes.  A licensed midwife may obtain and administer certain drugs, including:</w:t>
      </w:r>
      <w:r w:rsidR="00EA2815">
        <w:rPr>
          <w:rStyle w:val="FootnoteReference"/>
        </w:rPr>
        <w:footnoteReference w:id="8"/>
      </w:r>
    </w:p>
    <w:p w:rsidR="00250343" w:rsidRDefault="00250343" w:rsidP="0025034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ListBullet"/>
      </w:pPr>
      <w:r>
        <w:t>Prophylactic ophthalmic medications.</w:t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ListBullet"/>
      </w:pPr>
      <w:r>
        <w:t xml:space="preserve">Postpartum </w:t>
      </w:r>
      <w:proofErr w:type="spellStart"/>
      <w:r>
        <w:t>oxytocic</w:t>
      </w:r>
      <w:proofErr w:type="spellEnd"/>
      <w:r>
        <w:t>.</w:t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ListBullet"/>
      </w:pPr>
      <w:r>
        <w:t>Vitamin K.</w:t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ListBullet"/>
      </w:pPr>
      <w:r>
        <w:t>Rho immunoglobulin (human).</w:t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ListBullet"/>
      </w:pPr>
      <w:r>
        <w:lastRenderedPageBreak/>
        <w:t>Local anesthetics.</w:t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ListBullet"/>
      </w:pPr>
      <w:r>
        <w:t xml:space="preserve">Intravenous fluid limited to Lactated Ringers and 5% Dextrose with Lactated Ringers. </w:t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ListBullet"/>
      </w:pPr>
      <w:r>
        <w:t>Heparin and 0.9% sodium chloride for use in intravenous locks.</w:t>
      </w:r>
    </w:p>
    <w:p w:rsidR="00250343" w:rsidRDefault="00250343" w:rsidP="00250343"/>
    <w:p w:rsidR="00250343" w:rsidRDefault="00250343" w:rsidP="00250343">
      <w:pPr>
        <w:pStyle w:val="ListBullet"/>
      </w:pPr>
      <w:r>
        <w:t>Sterile water for intradermal injections for pain relief.</w:t>
      </w:r>
    </w:p>
    <w:p w:rsidR="00250343" w:rsidRDefault="00250343" w:rsidP="00250343"/>
    <w:p w:rsidR="00EA2815" w:rsidRDefault="00F86AAF" w:rsidP="00EA2815">
      <w:pPr>
        <w:pStyle w:val="ListBullet"/>
      </w:pPr>
      <w:r>
        <w:t xml:space="preserve">Magnesium </w:t>
      </w:r>
      <w:proofErr w:type="spellStart"/>
      <w:r>
        <w:t>s</w:t>
      </w:r>
      <w:r w:rsidR="00EA2815">
        <w:t>ulphate</w:t>
      </w:r>
      <w:proofErr w:type="spellEnd"/>
      <w:r w:rsidR="00EA2815">
        <w:t xml:space="preserve"> for prevention of maternal seizures pending transport.</w:t>
      </w:r>
    </w:p>
    <w:p w:rsidR="00000000" w:rsidRDefault="00310084"/>
    <w:p w:rsidR="00EA2815" w:rsidRDefault="00EA2815" w:rsidP="00EA2815">
      <w:pPr>
        <w:pStyle w:val="ListBullet"/>
      </w:pPr>
      <w:r>
        <w:t>Epinephrine for use in maternal anaphylaxis pending transport.</w:t>
      </w:r>
    </w:p>
    <w:p w:rsidR="00000000" w:rsidRDefault="00310084"/>
    <w:p w:rsidR="00EA2815" w:rsidRDefault="00EA2815" w:rsidP="00250343">
      <w:pPr>
        <w:pStyle w:val="ListBullet"/>
      </w:pPr>
      <w:r>
        <w:t xml:space="preserve">Measles, Mumps and Rubella vaccine to </w:t>
      </w:r>
      <w:proofErr w:type="spellStart"/>
      <w:r>
        <w:t>nonimmune</w:t>
      </w:r>
      <w:proofErr w:type="spellEnd"/>
      <w:r>
        <w:t xml:space="preserve"> postpartum women.</w:t>
      </w:r>
    </w:p>
    <w:p w:rsidR="00000000" w:rsidRDefault="00310084">
      <w:pPr>
        <w:pStyle w:val="ListBullet"/>
        <w:numPr>
          <w:ilvl w:val="0"/>
          <w:numId w:val="0"/>
        </w:numPr>
        <w:ind w:left="720"/>
      </w:pPr>
    </w:p>
    <w:p w:rsidR="00CB771A" w:rsidRDefault="00CB771A" w:rsidP="00CB771A">
      <w:pPr>
        <w:pStyle w:val="ListBullet"/>
      </w:pPr>
      <w:r>
        <w:t>HBIG and HBV for neonates born to hepatitis B+ mothers.</w:t>
      </w:r>
    </w:p>
    <w:p w:rsidR="00000000" w:rsidRDefault="00310084"/>
    <w:p w:rsidR="00CB771A" w:rsidRDefault="00CB771A" w:rsidP="00CB771A">
      <w:pPr>
        <w:pStyle w:val="ListBullet"/>
      </w:pPr>
      <w:proofErr w:type="spellStart"/>
      <w:r>
        <w:t>Tertbutaline</w:t>
      </w:r>
      <w:proofErr w:type="spellEnd"/>
      <w:r>
        <w:t xml:space="preserve"> for </w:t>
      </w:r>
      <w:proofErr w:type="spellStart"/>
      <w:r>
        <w:t>nonreassuring</w:t>
      </w:r>
      <w:proofErr w:type="spellEnd"/>
      <w:r>
        <w:t xml:space="preserve"> fetal heart tones and/or cord </w:t>
      </w:r>
      <w:proofErr w:type="spellStart"/>
      <w:r>
        <w:t>prolapse</w:t>
      </w:r>
      <w:proofErr w:type="spellEnd"/>
      <w:r>
        <w:t xml:space="preserve"> pending transport.</w:t>
      </w:r>
    </w:p>
    <w:p w:rsidR="00000000" w:rsidRDefault="00310084"/>
    <w:p w:rsidR="00250343" w:rsidRDefault="00250343" w:rsidP="00250343">
      <w:pPr>
        <w:pStyle w:val="ListBullet"/>
      </w:pPr>
      <w:r>
        <w:t xml:space="preserve">Antibiotics for </w:t>
      </w:r>
      <w:proofErr w:type="spellStart"/>
      <w:r>
        <w:t>intrapartum</w:t>
      </w:r>
      <w:proofErr w:type="spellEnd"/>
      <w:r>
        <w:t xml:space="preserve"> prophylaxis of Group B Beta hemolytic Streptococcus </w:t>
      </w:r>
      <w:r w:rsidR="00CB771A">
        <w:t xml:space="preserve">(GBS) </w:t>
      </w:r>
      <w:r>
        <w:t>per current CDC guidelines.</w:t>
      </w:r>
    </w:p>
    <w:p w:rsidR="00250343" w:rsidRDefault="00250343" w:rsidP="00250343"/>
    <w:p w:rsidR="00250343" w:rsidRDefault="00250343" w:rsidP="00250343">
      <w:pPr>
        <w:pStyle w:val="ListBullet"/>
      </w:pPr>
      <w:proofErr w:type="spellStart"/>
      <w:r>
        <w:t>Antihemorrhagic</w:t>
      </w:r>
      <w:proofErr w:type="spellEnd"/>
      <w:r>
        <w:t xml:space="preserve"> drugs to control postpartum hemorrhage, such as </w:t>
      </w:r>
      <w:proofErr w:type="spellStart"/>
      <w:r>
        <w:t>misoprostel</w:t>
      </w:r>
      <w:proofErr w:type="spellEnd"/>
      <w:r>
        <w:t xml:space="preserve"> per rectum (for use only in postpartum hemorrhage), </w:t>
      </w:r>
      <w:proofErr w:type="spellStart"/>
      <w:r>
        <w:t>methylergonovine</w:t>
      </w:r>
      <w:proofErr w:type="spellEnd"/>
      <w:r>
        <w:t xml:space="preserve"> </w:t>
      </w:r>
      <w:proofErr w:type="spellStart"/>
      <w:r>
        <w:t>maleate</w:t>
      </w:r>
      <w:proofErr w:type="spellEnd"/>
      <w:r>
        <w:t xml:space="preserve"> in the absence of hypertension, oral or intramuscular, prostaglandin F2 alpha (</w:t>
      </w:r>
      <w:proofErr w:type="spellStart"/>
      <w:r>
        <w:t>hemobate</w:t>
      </w:r>
      <w:proofErr w:type="spellEnd"/>
      <w:r>
        <w:t>), intramuscular.</w:t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F3A57" w:rsidRDefault="00250343" w:rsidP="00250343">
      <w:r>
        <w:tab/>
        <w:t>A licensed midwife may also administer other drugs or medications prescribed by a physician.</w:t>
      </w:r>
      <w:r w:rsidR="00CB771A">
        <w:rPr>
          <w:rStyle w:val="FootnoteReference"/>
        </w:rPr>
        <w:footnoteReference w:id="9"/>
      </w:r>
      <w:r>
        <w:t xml:space="preserve">  The client’s record must contain documentation of all medications administered.</w:t>
      </w:r>
      <w:r w:rsidR="00CB771A">
        <w:rPr>
          <w:rStyle w:val="FootnoteReference"/>
        </w:rPr>
        <w:footnoteReference w:id="10"/>
      </w:r>
      <w:r>
        <w:t xml:space="preserve">  The licensed midwife must have a procedure, policy or guideline for the use of each drug.</w:t>
      </w:r>
      <w:r w:rsidR="00CB771A">
        <w:rPr>
          <w:rStyle w:val="FootnoteReference"/>
        </w:rPr>
        <w:footnoteReference w:id="11"/>
      </w:r>
    </w:p>
    <w:p w:rsidR="00250343" w:rsidRDefault="00250343" w:rsidP="00250343"/>
    <w:p w:rsidR="00250343" w:rsidRDefault="00250343" w:rsidP="00250343"/>
    <w:sectPr w:rsidR="00250343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815" w:rsidRDefault="00EA2815" w:rsidP="003D62C2">
      <w:r>
        <w:separator/>
      </w:r>
    </w:p>
  </w:endnote>
  <w:endnote w:type="continuationSeparator" w:id="0">
    <w:p w:rsidR="00EA2815" w:rsidRDefault="00EA2815" w:rsidP="003D6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815" w:rsidRDefault="00EA2815" w:rsidP="003D62C2">
      <w:r>
        <w:separator/>
      </w:r>
    </w:p>
  </w:footnote>
  <w:footnote w:type="continuationSeparator" w:id="0">
    <w:p w:rsidR="00EA2815" w:rsidRDefault="00EA2815" w:rsidP="003D62C2">
      <w:r>
        <w:continuationSeparator/>
      </w:r>
    </w:p>
  </w:footnote>
  <w:footnote w:id="1">
    <w:p w:rsidR="00EA2815" w:rsidRDefault="00EA2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18.50.020.</w:t>
      </w:r>
      <w:proofErr w:type="gramEnd"/>
    </w:p>
  </w:footnote>
  <w:footnote w:id="2">
    <w:p w:rsidR="00EA2815" w:rsidRDefault="00EA2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18.50.032.</w:t>
      </w:r>
      <w:proofErr w:type="gramEnd"/>
    </w:p>
  </w:footnote>
  <w:footnote w:id="3">
    <w:p w:rsidR="00EA2815" w:rsidRDefault="00EA2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18.50.010.</w:t>
      </w:r>
      <w:proofErr w:type="gramEnd"/>
    </w:p>
  </w:footnote>
  <w:footnote w:id="4">
    <w:p w:rsidR="00EA2815" w:rsidRPr="00EA2815" w:rsidRDefault="00EA2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Id</w:t>
      </w:r>
      <w:r>
        <w:t>.</w:t>
      </w:r>
    </w:p>
  </w:footnote>
  <w:footnote w:id="5">
    <w:p w:rsidR="00EA2815" w:rsidRPr="00EA2815" w:rsidRDefault="00EA2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Id</w:t>
      </w:r>
      <w:r>
        <w:t>.</w:t>
      </w:r>
    </w:p>
  </w:footnote>
  <w:footnote w:id="6">
    <w:p w:rsidR="00EA2815" w:rsidRDefault="00EA2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18.50.108.</w:t>
      </w:r>
      <w:proofErr w:type="gramEnd"/>
    </w:p>
  </w:footnote>
  <w:footnote w:id="7">
    <w:p w:rsidR="00EA2815" w:rsidRPr="00EA2815" w:rsidRDefault="00EA2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Id</w:t>
      </w:r>
      <w:r>
        <w:t>.</w:t>
      </w:r>
    </w:p>
  </w:footnote>
  <w:footnote w:id="8">
    <w:p w:rsidR="00EA2815" w:rsidRDefault="00EA2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CB771A">
        <w:t xml:space="preserve">RCW 18.50.115; </w:t>
      </w:r>
      <w:r>
        <w:t>WAC 246-834-250(2).</w:t>
      </w:r>
      <w:proofErr w:type="gramEnd"/>
    </w:p>
  </w:footnote>
  <w:footnote w:id="9">
    <w:p w:rsidR="00CB771A" w:rsidRDefault="00CB77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18.50.115.</w:t>
      </w:r>
      <w:proofErr w:type="gramEnd"/>
    </w:p>
  </w:footnote>
  <w:footnote w:id="10">
    <w:p w:rsidR="00CB771A" w:rsidRDefault="00CB77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246-834-250(3).</w:t>
      </w:r>
      <w:proofErr w:type="gramEnd"/>
    </w:p>
  </w:footnote>
  <w:footnote w:id="11">
    <w:p w:rsidR="00CB771A" w:rsidRDefault="00CB77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246-834-250(4).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343"/>
    <w:rsid w:val="000D4519"/>
    <w:rsid w:val="001F35EE"/>
    <w:rsid w:val="00250343"/>
    <w:rsid w:val="002573E6"/>
    <w:rsid w:val="002F3A57"/>
    <w:rsid w:val="003D62C2"/>
    <w:rsid w:val="00510D5A"/>
    <w:rsid w:val="00751593"/>
    <w:rsid w:val="00CB771A"/>
    <w:rsid w:val="00EA2815"/>
    <w:rsid w:val="00F048D8"/>
    <w:rsid w:val="00F30A76"/>
    <w:rsid w:val="00F86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343"/>
    <w:pPr>
      <w:spacing w:after="0" w:line="240" w:lineRule="auto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250343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250343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0343"/>
    <w:rPr>
      <w:rFonts w:eastAsia="Times New Roman"/>
      <w:b/>
      <w:kern w:val="28"/>
    </w:rPr>
  </w:style>
  <w:style w:type="character" w:customStyle="1" w:styleId="Heading2Char">
    <w:name w:val="Heading 2 Char"/>
    <w:basedOn w:val="DefaultParagraphFont"/>
    <w:link w:val="Heading2"/>
    <w:rsid w:val="00250343"/>
    <w:rPr>
      <w:rFonts w:eastAsia="Times New Roman"/>
      <w:b/>
    </w:rPr>
  </w:style>
  <w:style w:type="paragraph" w:styleId="ListBullet">
    <w:name w:val="List Bullet"/>
    <w:basedOn w:val="Normal"/>
    <w:next w:val="Normal"/>
    <w:autoRedefine/>
    <w:semiHidden/>
    <w:rsid w:val="00250343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D62C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2C2"/>
    <w:rPr>
      <w:rFonts w:eastAsia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62C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81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815"/>
    <w:rPr>
      <w:rFonts w:ascii="Tahoma" w:eastAsia="Times New Roman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D2411B-539D-4466-A042-09CA3DE8FE5E}"/>
</file>

<file path=customXml/itemProps2.xml><?xml version="1.0" encoding="utf-8"?>
<ds:datastoreItem xmlns:ds="http://schemas.openxmlformats.org/officeDocument/2006/customXml" ds:itemID="{48D042B8-BC87-41A7-8DEF-AE26077F3DE6}"/>
</file>

<file path=customXml/itemProps3.xml><?xml version="1.0" encoding="utf-8"?>
<ds:datastoreItem xmlns:ds="http://schemas.openxmlformats.org/officeDocument/2006/customXml" ds:itemID="{3A48ACDE-4145-4650-BB94-F486139B54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2</cp:revision>
  <dcterms:created xsi:type="dcterms:W3CDTF">2012-12-04T22:52:00Z</dcterms:created>
  <dcterms:modified xsi:type="dcterms:W3CDTF">2012-12-04T22:52:00Z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