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E7F" w:rsidRDefault="00264E7F" w:rsidP="00264E7F">
      <w:pPr>
        <w:pStyle w:val="Heading1"/>
      </w:pPr>
      <w:bookmarkStart w:id="0" w:name="_Toc161565699"/>
      <w:r>
        <w:t>NEWBORNS:  TESTING AND REPORTING</w:t>
      </w:r>
      <w:bookmarkEnd w:id="0"/>
    </w:p>
    <w:p w:rsidR="00264E7F" w:rsidRDefault="00264E7F" w:rsidP="00264E7F">
      <w:pPr>
        <w:keepNext/>
        <w:keepLines/>
        <w:widowControl w:val="0"/>
      </w:pPr>
    </w:p>
    <w:p w:rsidR="00264E7F" w:rsidRDefault="00264E7F" w:rsidP="00264E7F">
      <w:pPr>
        <w:keepNext/>
        <w:keepLines/>
        <w:widowControl w:val="0"/>
      </w:pPr>
    </w:p>
    <w:p w:rsidR="00264E7F" w:rsidRDefault="00264E7F" w:rsidP="00264E7F">
      <w:pPr>
        <w:pStyle w:val="Heading2"/>
      </w:pPr>
      <w:r>
        <w:t>Are screening tests for newborns required?</w:t>
      </w:r>
    </w:p>
    <w:p w:rsidR="00264E7F" w:rsidRDefault="00264E7F" w:rsidP="00264E7F">
      <w:pPr>
        <w:keepNext/>
        <w:keepLines/>
        <w:widowControl w:val="0"/>
        <w:tabs>
          <w:tab w:val="left" w:pos="-1440"/>
          <w:tab w:val="left" w:pos="-720"/>
        </w:tabs>
        <w:suppressAutoHyphens/>
      </w:pPr>
    </w:p>
    <w:p w:rsidR="00264E7F" w:rsidRDefault="00264E7F" w:rsidP="00264E7F">
      <w:pPr>
        <w:tabs>
          <w:tab w:val="left" w:pos="-1440"/>
          <w:tab w:val="left" w:pos="-720"/>
        </w:tabs>
        <w:suppressAutoHyphens/>
      </w:pPr>
      <w:r>
        <w:tab/>
        <w:t xml:space="preserve">Yes.  Except where a newborn’s parent or guardian objects on religious grounds, screening tests of all newborn infants before discharge from the hospital are required for the detection of phenylketonuria and other heritable or metabolic disorders leading to </w:t>
      </w:r>
      <w:r w:rsidR="001C3039">
        <w:t>intellectual disabilities</w:t>
      </w:r>
      <w:r>
        <w:t xml:space="preserve"> or physical defects.</w:t>
      </w:r>
      <w:r w:rsidR="001C3039">
        <w:rPr>
          <w:rStyle w:val="FootnoteReference"/>
        </w:rPr>
        <w:footnoteReference w:id="1"/>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pPr>
      <w:r>
        <w:tab/>
        <w:t>The hospital performing the birth services must provide information to the parents or responsible parties regarding:</w:t>
      </w:r>
      <w:r w:rsidR="00301CED">
        <w:rPr>
          <w:rStyle w:val="FootnoteReference"/>
        </w:rPr>
        <w:footnoteReference w:id="2"/>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purpose of screening newborns for congenital disorders.</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list of disorders for which screening is performed.</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requirement for newborn screening.</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parent’s legal right to refuse testing because of religious tenets or practices.</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specimen storage, retention and access procedures required by the State.</w:t>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ind w:firstLine="720"/>
      </w:pPr>
      <w:r>
        <w:t>The information above may be provided by a pamphlet from the Department of Health, or by other means.</w:t>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pPr>
      <w:r>
        <w:tab/>
        <w:t>A blood specimen must be obtained from each newborn prior to discharge from the hospital, or if not yet discharged, no later than five days after birth.</w:t>
      </w:r>
      <w:r w:rsidR="00301CED">
        <w:rPr>
          <w:rStyle w:val="FootnoteReference"/>
        </w:rPr>
        <w:footnoteReference w:id="3"/>
      </w:r>
      <w:r>
        <w:t xml:space="preserve">  If a parent or guardian refuses to allow newborn metabolic screening, the parent or guardian’s signature must be obtained on a refusal form specified by the Department of Health.</w:t>
      </w:r>
      <w:r w:rsidR="00301CED">
        <w:rPr>
          <w:rStyle w:val="FootnoteReference"/>
        </w:rPr>
        <w:footnoteReference w:id="4"/>
      </w:r>
      <w:r>
        <w:t xml:space="preserve">  The specimen or signed refusal must be forwarded to the state public health laboratory no later than one day after the specimen is collected or the refusal form is signed.</w:t>
      </w:r>
      <w:r w:rsidR="00301CED">
        <w:rPr>
          <w:rStyle w:val="FootnoteReference"/>
        </w:rPr>
        <w:footnoteReference w:id="5"/>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pPr>
      <w:r>
        <w:tab/>
        <w:t>Upon receipt of the specimen, the state public health laboratory will perform screening tests for the following:</w:t>
      </w:r>
      <w:r w:rsidR="00301CED">
        <w:rPr>
          <w:rStyle w:val="FootnoteReference"/>
        </w:rPr>
        <w:footnoteReference w:id="6"/>
      </w:r>
    </w:p>
    <w:p w:rsidR="00264E7F" w:rsidRDefault="00264E7F" w:rsidP="00264E7F">
      <w:pPr>
        <w:tabs>
          <w:tab w:val="left" w:pos="-1440"/>
          <w:tab w:val="left" w:pos="-720"/>
        </w:tabs>
        <w:suppressAutoHyphens/>
      </w:pPr>
    </w:p>
    <w:p w:rsidR="00264E7F" w:rsidRDefault="00264E7F" w:rsidP="00264E7F">
      <w:pPr>
        <w:pStyle w:val="ListBullet"/>
      </w:pPr>
      <w:proofErr w:type="spellStart"/>
      <w:r>
        <w:t>Biotinidase</w:t>
      </w:r>
      <w:proofErr w:type="spellEnd"/>
      <w:r>
        <w:t xml:space="preserve"> deficiency.</w:t>
      </w:r>
    </w:p>
    <w:p w:rsidR="00264E7F" w:rsidRDefault="00264E7F" w:rsidP="00264E7F"/>
    <w:p w:rsidR="00301CED" w:rsidRDefault="00301CED" w:rsidP="00301CED">
      <w:pPr>
        <w:pStyle w:val="ListBullet"/>
        <w:numPr>
          <w:ilvl w:val="0"/>
          <w:numId w:val="2"/>
        </w:numPr>
      </w:pPr>
      <w:r>
        <w:t>Congenital hypothyroidism.</w:t>
      </w:r>
    </w:p>
    <w:p w:rsidR="00000000" w:rsidRDefault="00116A8B"/>
    <w:p w:rsidR="00301CED" w:rsidRDefault="00301CED" w:rsidP="00301CED">
      <w:pPr>
        <w:pStyle w:val="ListBullet"/>
        <w:numPr>
          <w:ilvl w:val="0"/>
          <w:numId w:val="2"/>
        </w:numPr>
      </w:pPr>
      <w:r>
        <w:lastRenderedPageBreak/>
        <w:t>Congenital adrenal hyperplasia.</w:t>
      </w:r>
    </w:p>
    <w:p w:rsidR="00000000" w:rsidRDefault="00116A8B"/>
    <w:p w:rsidR="00264E7F" w:rsidRDefault="00264E7F" w:rsidP="00264E7F">
      <w:pPr>
        <w:numPr>
          <w:ilvl w:val="0"/>
          <w:numId w:val="2"/>
        </w:numPr>
      </w:pPr>
      <w:r>
        <w:t>Galactosemia.</w:t>
      </w:r>
    </w:p>
    <w:p w:rsidR="00264E7F" w:rsidRDefault="00264E7F" w:rsidP="00264E7F"/>
    <w:p w:rsidR="00264E7F" w:rsidRDefault="00264E7F" w:rsidP="00264E7F">
      <w:pPr>
        <w:numPr>
          <w:ilvl w:val="0"/>
          <w:numId w:val="2"/>
        </w:numPr>
      </w:pPr>
      <w:r>
        <w:t>Homocystinuria.</w:t>
      </w:r>
    </w:p>
    <w:p w:rsidR="00000000" w:rsidRDefault="00116A8B">
      <w:pPr>
        <w:pStyle w:val="ListParagraph"/>
      </w:pPr>
    </w:p>
    <w:p w:rsidR="00301CED" w:rsidRDefault="00301CED" w:rsidP="00264E7F">
      <w:pPr>
        <w:numPr>
          <w:ilvl w:val="0"/>
          <w:numId w:val="2"/>
        </w:numPr>
      </w:pPr>
      <w:r>
        <w:t xml:space="preserve">Hemoglobinopathies. </w:t>
      </w:r>
    </w:p>
    <w:p w:rsidR="00264E7F" w:rsidRDefault="00264E7F" w:rsidP="00264E7F"/>
    <w:p w:rsidR="00264E7F" w:rsidRDefault="00264E7F" w:rsidP="00264E7F">
      <w:pPr>
        <w:numPr>
          <w:ilvl w:val="0"/>
          <w:numId w:val="2"/>
        </w:numPr>
      </w:pPr>
      <w:r>
        <w:t>Maple syrup urine disease.</w:t>
      </w:r>
    </w:p>
    <w:p w:rsidR="00264E7F" w:rsidRDefault="00264E7F" w:rsidP="00264E7F"/>
    <w:p w:rsidR="00264E7F" w:rsidRDefault="00264E7F" w:rsidP="00264E7F">
      <w:pPr>
        <w:numPr>
          <w:ilvl w:val="0"/>
          <w:numId w:val="2"/>
        </w:numPr>
      </w:pPr>
      <w:r>
        <w:t xml:space="preserve">Medium chain </w:t>
      </w:r>
      <w:proofErr w:type="spellStart"/>
      <w:r>
        <w:t>acyl-coA</w:t>
      </w:r>
      <w:proofErr w:type="spellEnd"/>
      <w:r>
        <w:t xml:space="preserve"> dehydrogenase deficiency.</w:t>
      </w:r>
    </w:p>
    <w:p w:rsidR="00264E7F" w:rsidRDefault="00264E7F" w:rsidP="00264E7F"/>
    <w:p w:rsidR="00264E7F" w:rsidRDefault="00264E7F" w:rsidP="00264E7F">
      <w:pPr>
        <w:pStyle w:val="ListBullet"/>
      </w:pPr>
      <w:r>
        <w:t>Phenylketonuria.</w:t>
      </w:r>
    </w:p>
    <w:p w:rsidR="00264E7F" w:rsidRDefault="00264E7F" w:rsidP="00264E7F">
      <w:pPr>
        <w:tabs>
          <w:tab w:val="left" w:pos="-1440"/>
          <w:tab w:val="left" w:pos="-720"/>
        </w:tabs>
        <w:suppressAutoHyphens/>
      </w:pPr>
    </w:p>
    <w:p w:rsidR="00264E7F" w:rsidRDefault="00264E7F" w:rsidP="00264E7F">
      <w:pPr>
        <w:pStyle w:val="ListBullet"/>
      </w:pPr>
      <w:r>
        <w:t>Cystic fibrosis.</w:t>
      </w:r>
    </w:p>
    <w:p w:rsidR="00000000" w:rsidRDefault="00116A8B"/>
    <w:p w:rsidR="00000000" w:rsidRDefault="00762C30">
      <w:pPr>
        <w:pStyle w:val="ListParagraph"/>
        <w:numPr>
          <w:ilvl w:val="0"/>
          <w:numId w:val="4"/>
        </w:numPr>
        <w:rPr>
          <w:szCs w:val="24"/>
        </w:rPr>
      </w:pPr>
      <w:r w:rsidRPr="00762C30">
        <w:rPr>
          <w:szCs w:val="24"/>
        </w:rPr>
        <w:t xml:space="preserve">The amino acid disorders: </w:t>
      </w:r>
      <w:proofErr w:type="spellStart"/>
      <w:r w:rsidRPr="00762C30">
        <w:rPr>
          <w:szCs w:val="24"/>
        </w:rPr>
        <w:t>Argininosuccinic</w:t>
      </w:r>
      <w:proofErr w:type="spellEnd"/>
      <w:r w:rsidRPr="00762C30">
        <w:rPr>
          <w:szCs w:val="24"/>
        </w:rPr>
        <w:t xml:space="preserve"> acidemia (ASA), </w:t>
      </w:r>
      <w:proofErr w:type="spellStart"/>
      <w:r w:rsidRPr="00762C30">
        <w:rPr>
          <w:szCs w:val="24"/>
        </w:rPr>
        <w:t>citrullinemia</w:t>
      </w:r>
      <w:proofErr w:type="spellEnd"/>
      <w:r w:rsidRPr="00762C30">
        <w:rPr>
          <w:szCs w:val="24"/>
        </w:rPr>
        <w:t xml:space="preserve"> (CIT), and </w:t>
      </w:r>
      <w:proofErr w:type="spellStart"/>
      <w:r w:rsidRPr="00762C30">
        <w:rPr>
          <w:szCs w:val="24"/>
        </w:rPr>
        <w:t>tyrosinemia</w:t>
      </w:r>
      <w:proofErr w:type="spellEnd"/>
      <w:r w:rsidRPr="00762C30">
        <w:rPr>
          <w:szCs w:val="24"/>
        </w:rPr>
        <w:t xml:space="preserve"> type I (TYR 1).</w:t>
      </w:r>
    </w:p>
    <w:p w:rsidR="00000000" w:rsidRDefault="00116A8B">
      <w:pPr>
        <w:pStyle w:val="ListParagraph"/>
        <w:rPr>
          <w:szCs w:val="24"/>
        </w:rPr>
      </w:pPr>
    </w:p>
    <w:p w:rsidR="00000000" w:rsidRDefault="00762C30">
      <w:pPr>
        <w:pStyle w:val="ListParagraph"/>
        <w:numPr>
          <w:ilvl w:val="0"/>
          <w:numId w:val="4"/>
        </w:numPr>
        <w:rPr>
          <w:szCs w:val="24"/>
        </w:rPr>
      </w:pPr>
      <w:r w:rsidRPr="00762C30">
        <w:rPr>
          <w:szCs w:val="24"/>
        </w:rPr>
        <w:t xml:space="preserve">The fatty acid oxidation disorders: </w:t>
      </w:r>
      <w:proofErr w:type="spellStart"/>
      <w:r w:rsidRPr="00762C30">
        <w:rPr>
          <w:szCs w:val="24"/>
        </w:rPr>
        <w:t>Carnitine</w:t>
      </w:r>
      <w:proofErr w:type="spellEnd"/>
      <w:r w:rsidRPr="00762C30">
        <w:rPr>
          <w:szCs w:val="24"/>
        </w:rPr>
        <w:t xml:space="preserve"> uptake defect (CUD), long-chain L-3-OH </w:t>
      </w:r>
      <w:proofErr w:type="spellStart"/>
      <w:r w:rsidRPr="00762C30">
        <w:rPr>
          <w:szCs w:val="24"/>
        </w:rPr>
        <w:t>acyl-CoA</w:t>
      </w:r>
      <w:proofErr w:type="spellEnd"/>
      <w:r w:rsidRPr="00762C30">
        <w:rPr>
          <w:szCs w:val="24"/>
        </w:rPr>
        <w:t xml:space="preserve"> dehydrogenase deficiency (LCHADD), </w:t>
      </w:r>
      <w:proofErr w:type="spellStart"/>
      <w:r w:rsidRPr="00762C30">
        <w:rPr>
          <w:szCs w:val="24"/>
        </w:rPr>
        <w:t>trifunctional</w:t>
      </w:r>
      <w:proofErr w:type="spellEnd"/>
      <w:r w:rsidRPr="00762C30">
        <w:rPr>
          <w:szCs w:val="24"/>
        </w:rPr>
        <w:t xml:space="preserve"> protein deficiency (TFP), and very long-chain </w:t>
      </w:r>
      <w:proofErr w:type="spellStart"/>
      <w:r w:rsidRPr="00762C30">
        <w:rPr>
          <w:szCs w:val="24"/>
        </w:rPr>
        <w:t>acyl-CoA</w:t>
      </w:r>
      <w:proofErr w:type="spellEnd"/>
      <w:r w:rsidRPr="00762C30">
        <w:rPr>
          <w:szCs w:val="24"/>
        </w:rPr>
        <w:t xml:space="preserve"> dehydrogenase deficiency (VLCADD).</w:t>
      </w:r>
    </w:p>
    <w:p w:rsidR="00000000" w:rsidRDefault="00116A8B">
      <w:pPr>
        <w:rPr>
          <w:szCs w:val="24"/>
        </w:rPr>
      </w:pPr>
    </w:p>
    <w:p w:rsidR="00000000" w:rsidRDefault="00762C30">
      <w:pPr>
        <w:pStyle w:val="ListParagraph"/>
        <w:numPr>
          <w:ilvl w:val="0"/>
          <w:numId w:val="4"/>
        </w:numPr>
        <w:rPr>
          <w:szCs w:val="24"/>
        </w:rPr>
      </w:pPr>
      <w:r w:rsidRPr="00762C30">
        <w:rPr>
          <w:szCs w:val="24"/>
        </w:rPr>
        <w:t>The organic acid disorders: 3-OH 3-CH3 glutaric aciduria (HMG), beta-</w:t>
      </w:r>
      <w:proofErr w:type="spellStart"/>
      <w:r w:rsidRPr="00762C30">
        <w:rPr>
          <w:szCs w:val="24"/>
        </w:rPr>
        <w:t>ketothiolase</w:t>
      </w:r>
      <w:proofErr w:type="spellEnd"/>
      <w:r w:rsidRPr="00762C30">
        <w:rPr>
          <w:szCs w:val="24"/>
        </w:rPr>
        <w:t xml:space="preserve"> deficiency (BKT), glutaric acidemia type I (GA 1), isovaleric acidemia (IVA), </w:t>
      </w:r>
      <w:proofErr w:type="spellStart"/>
      <w:r w:rsidRPr="00762C30">
        <w:rPr>
          <w:szCs w:val="24"/>
        </w:rPr>
        <w:t>methylmalonic</w:t>
      </w:r>
      <w:proofErr w:type="spellEnd"/>
      <w:r w:rsidRPr="00762C30">
        <w:rPr>
          <w:szCs w:val="24"/>
        </w:rPr>
        <w:t xml:space="preserve"> acidemia (</w:t>
      </w:r>
      <w:proofErr w:type="spellStart"/>
      <w:r w:rsidRPr="00762C30">
        <w:rPr>
          <w:szCs w:val="24"/>
        </w:rPr>
        <w:t>CblA,B</w:t>
      </w:r>
      <w:proofErr w:type="spellEnd"/>
      <w:r w:rsidRPr="00762C30">
        <w:rPr>
          <w:szCs w:val="24"/>
        </w:rPr>
        <w:t xml:space="preserve">), </w:t>
      </w:r>
      <w:proofErr w:type="spellStart"/>
      <w:r w:rsidRPr="00762C30">
        <w:rPr>
          <w:szCs w:val="24"/>
        </w:rPr>
        <w:t>methylmalonic</w:t>
      </w:r>
      <w:proofErr w:type="spellEnd"/>
      <w:r w:rsidRPr="00762C30">
        <w:rPr>
          <w:szCs w:val="24"/>
        </w:rPr>
        <w:t xml:space="preserve"> acidemia (</w:t>
      </w:r>
      <w:proofErr w:type="spellStart"/>
      <w:r w:rsidRPr="00762C30">
        <w:rPr>
          <w:rStyle w:val="Emphasis"/>
          <w:szCs w:val="24"/>
        </w:rPr>
        <w:t>mutase</w:t>
      </w:r>
      <w:proofErr w:type="spellEnd"/>
      <w:r w:rsidRPr="00762C30">
        <w:rPr>
          <w:rStyle w:val="Emphasis"/>
          <w:szCs w:val="24"/>
        </w:rPr>
        <w:t xml:space="preserve"> deficiency</w:t>
      </w:r>
      <w:r w:rsidRPr="00762C30">
        <w:rPr>
          <w:szCs w:val="24"/>
        </w:rPr>
        <w:t xml:space="preserve">) (MUT), multiple </w:t>
      </w:r>
      <w:proofErr w:type="spellStart"/>
      <w:r w:rsidRPr="00762C30">
        <w:rPr>
          <w:szCs w:val="24"/>
        </w:rPr>
        <w:t>carboxylase</w:t>
      </w:r>
      <w:proofErr w:type="spellEnd"/>
      <w:r w:rsidRPr="00762C30">
        <w:rPr>
          <w:szCs w:val="24"/>
        </w:rPr>
        <w:t xml:space="preserve"> deficiency (MCD), propionic acidemia (PROP)</w:t>
      </w:r>
      <w:r w:rsidR="007932BF">
        <w:rPr>
          <w:szCs w:val="24"/>
        </w:rPr>
        <w:t>.</w:t>
      </w:r>
    </w:p>
    <w:p w:rsidR="00264E7F" w:rsidRDefault="00264E7F" w:rsidP="00264E7F">
      <w:pPr>
        <w:tabs>
          <w:tab w:val="left" w:pos="-1440"/>
          <w:tab w:val="left" w:pos="-720"/>
        </w:tabs>
        <w:suppressAutoHyphens/>
      </w:pPr>
    </w:p>
    <w:p w:rsidR="00264E7F" w:rsidRDefault="00116A8B" w:rsidP="00264E7F">
      <w:pPr>
        <w:tabs>
          <w:tab w:val="left" w:pos="-1440"/>
          <w:tab w:val="left" w:pos="-720"/>
        </w:tabs>
        <w:suppressAutoHyphens/>
      </w:pPr>
      <w:r>
        <w:tab/>
      </w:r>
      <w:r w:rsidR="00264E7F">
        <w:t>The laboratory will report significant test results to the newborn’s attending physician or the newborn’s family if the attending physician cannot be identified.</w:t>
      </w:r>
      <w:r w:rsidR="007932BF">
        <w:rPr>
          <w:rStyle w:val="FootnoteReference"/>
        </w:rPr>
        <w:footnoteReference w:id="7"/>
      </w:r>
      <w:r w:rsidR="00264E7F">
        <w:t xml:space="preserve">  The Department of Health will offer the diagnostic and treatment resources of the department to physicians attending affected infants.</w:t>
      </w:r>
      <w:r w:rsidR="007932BF">
        <w:rPr>
          <w:rStyle w:val="FootnoteReference"/>
        </w:rPr>
        <w:footnoteReference w:id="8"/>
      </w:r>
    </w:p>
    <w:p w:rsidR="00264E7F" w:rsidRDefault="00264E7F" w:rsidP="00264E7F">
      <w:pPr>
        <w:tabs>
          <w:tab w:val="left" w:pos="-1440"/>
          <w:tab w:val="left" w:pos="-720"/>
        </w:tabs>
        <w:suppressAutoHyphens/>
      </w:pPr>
    </w:p>
    <w:p w:rsidR="00264E7F" w:rsidRDefault="00264E7F" w:rsidP="00264E7F">
      <w:pPr>
        <w:pStyle w:val="Heading2"/>
      </w:pPr>
      <w:r>
        <w:t>May screening tests be given to a newborn whose parent or guardian objects on religious grounds?</w:t>
      </w:r>
    </w:p>
    <w:p w:rsidR="00264E7F" w:rsidRDefault="00264E7F" w:rsidP="00264E7F">
      <w:pPr>
        <w:keepNext/>
        <w:keepLines/>
        <w:widowControl w:val="0"/>
        <w:tabs>
          <w:tab w:val="left" w:pos="-1440"/>
          <w:tab w:val="left" w:pos="-720"/>
        </w:tabs>
        <w:suppressAutoHyphens/>
      </w:pPr>
    </w:p>
    <w:p w:rsidR="00264E7F" w:rsidRDefault="00264E7F" w:rsidP="00264E7F">
      <w:pPr>
        <w:tabs>
          <w:tab w:val="left" w:pos="-1440"/>
          <w:tab w:val="left" w:pos="-720"/>
        </w:tabs>
        <w:suppressAutoHyphens/>
      </w:pPr>
      <w:r>
        <w:tab/>
        <w:t>No.  No screening tests may be given to any newborn whose parent or guardian objects on religious grounds.</w:t>
      </w:r>
      <w:r w:rsidR="001C3039">
        <w:rPr>
          <w:rStyle w:val="FootnoteReference"/>
        </w:rPr>
        <w:footnoteReference w:id="9"/>
      </w:r>
    </w:p>
    <w:p w:rsidR="00264E7F" w:rsidRDefault="00264E7F" w:rsidP="00264E7F">
      <w:pPr>
        <w:tabs>
          <w:tab w:val="left" w:pos="-1440"/>
          <w:tab w:val="left" w:pos="-720"/>
        </w:tabs>
        <w:suppressAutoHyphens/>
      </w:pPr>
    </w:p>
    <w:p w:rsidR="00264E7F" w:rsidRDefault="00264E7F" w:rsidP="00264E7F">
      <w:pPr>
        <w:pStyle w:val="Heading2"/>
      </w:pPr>
      <w:r>
        <w:lastRenderedPageBreak/>
        <w:t>When may a newborn be tested for AIDS/HIV?</w:t>
      </w:r>
    </w:p>
    <w:p w:rsidR="00264E7F" w:rsidRDefault="00264E7F" w:rsidP="00264E7F">
      <w:pPr>
        <w:keepNext/>
        <w:keepLines/>
        <w:widowControl w:val="0"/>
        <w:tabs>
          <w:tab w:val="left" w:pos="-1440"/>
          <w:tab w:val="left" w:pos="-720"/>
        </w:tabs>
        <w:suppressAutoHyphens/>
      </w:pPr>
    </w:p>
    <w:p w:rsidR="00264E7F" w:rsidRDefault="00264E7F" w:rsidP="00264E7F">
      <w:pPr>
        <w:tabs>
          <w:tab w:val="left" w:pos="-1440"/>
          <w:tab w:val="left" w:pos="-720"/>
        </w:tabs>
        <w:suppressAutoHyphens/>
      </w:pPr>
      <w:r>
        <w:tab/>
        <w:t>Testing for AIDS/HIV may be performed on newborn infants with the consent of the newborn’s parent or legal representative.</w:t>
      </w:r>
      <w:r w:rsidR="00AD1C09">
        <w:rPr>
          <w:rStyle w:val="FootnoteReference"/>
        </w:rPr>
        <w:footnoteReference w:id="10"/>
      </w:r>
      <w:r>
        <w:t xml:space="preserve">  </w:t>
      </w:r>
      <w:r>
        <w:rPr>
          <w:u w:val="single"/>
        </w:rPr>
        <w:t>See</w:t>
      </w:r>
      <w:r>
        <w:t xml:space="preserve"> </w:t>
      </w:r>
      <w:r>
        <w:rPr>
          <w:b/>
        </w:rPr>
        <w:t>AIDS/HIV/STD</w:t>
      </w:r>
      <w:r>
        <w:t>.</w:t>
      </w:r>
    </w:p>
    <w:p w:rsidR="00264E7F" w:rsidRDefault="00264E7F" w:rsidP="00264E7F">
      <w:pPr>
        <w:tabs>
          <w:tab w:val="left" w:pos="-1440"/>
          <w:tab w:val="left" w:pos="-720"/>
        </w:tabs>
        <w:suppressAutoHyphens/>
      </w:pPr>
    </w:p>
    <w:p w:rsidR="00264E7F" w:rsidRDefault="00264E7F" w:rsidP="00264E7F">
      <w:pPr>
        <w:pStyle w:val="Heading2"/>
      </w:pPr>
      <w:r>
        <w:t>Must phenylketonuria testing results be reported?</w:t>
      </w:r>
    </w:p>
    <w:p w:rsidR="00264E7F" w:rsidRDefault="00264E7F" w:rsidP="00264E7F">
      <w:pPr>
        <w:keepNext/>
        <w:keepLines/>
        <w:widowControl w:val="0"/>
        <w:tabs>
          <w:tab w:val="left" w:pos="-1440"/>
          <w:tab w:val="left" w:pos="-720"/>
        </w:tabs>
        <w:suppressAutoHyphens/>
      </w:pPr>
    </w:p>
    <w:p w:rsidR="002F3A57" w:rsidRDefault="00264E7F" w:rsidP="00264E7F">
      <w:r>
        <w:tab/>
        <w:t>Yes.  Laboratories, attending physicians, hospital administrators, or other persons performing or requesting any test for phenylketonuria must report all positive results to the Department of Health.</w:t>
      </w:r>
      <w:r w:rsidR="005A07AB">
        <w:rPr>
          <w:rStyle w:val="FootnoteReference"/>
        </w:rPr>
        <w:footnoteReference w:id="11"/>
      </w:r>
    </w:p>
    <w:p w:rsidR="00264E7F" w:rsidRDefault="00264E7F" w:rsidP="00264E7F"/>
    <w:p w:rsidR="00264E7F" w:rsidRDefault="00264E7F" w:rsidP="00264E7F"/>
    <w:sectPr w:rsidR="00264E7F"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2BF" w:rsidRDefault="007932BF" w:rsidP="001C3039">
      <w:r>
        <w:separator/>
      </w:r>
    </w:p>
  </w:endnote>
  <w:endnote w:type="continuationSeparator" w:id="0">
    <w:p w:rsidR="007932BF" w:rsidRDefault="007932BF" w:rsidP="001C30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2BF" w:rsidRDefault="007932BF" w:rsidP="001C3039">
      <w:r>
        <w:separator/>
      </w:r>
    </w:p>
  </w:footnote>
  <w:footnote w:type="continuationSeparator" w:id="0">
    <w:p w:rsidR="007932BF" w:rsidRDefault="007932BF" w:rsidP="001C3039">
      <w:r>
        <w:continuationSeparator/>
      </w:r>
    </w:p>
  </w:footnote>
  <w:footnote w:id="1">
    <w:p w:rsidR="007932BF" w:rsidRDefault="007932BF">
      <w:pPr>
        <w:pStyle w:val="FootnoteText"/>
      </w:pPr>
      <w:r>
        <w:rPr>
          <w:rStyle w:val="FootnoteReference"/>
        </w:rPr>
        <w:footnoteRef/>
      </w:r>
      <w:r>
        <w:t xml:space="preserve"> </w:t>
      </w:r>
      <w:proofErr w:type="gramStart"/>
      <w:r>
        <w:t>RCW 70.83.020.</w:t>
      </w:r>
      <w:proofErr w:type="gramEnd"/>
    </w:p>
  </w:footnote>
  <w:footnote w:id="2">
    <w:p w:rsidR="007932BF" w:rsidRDefault="007932BF">
      <w:pPr>
        <w:pStyle w:val="FootnoteText"/>
      </w:pPr>
      <w:r>
        <w:rPr>
          <w:rStyle w:val="FootnoteReference"/>
        </w:rPr>
        <w:footnoteRef/>
      </w:r>
      <w:r>
        <w:t xml:space="preserve"> WAC 246-650-020(1</w:t>
      </w:r>
      <w:proofErr w:type="gramStart"/>
      <w:r>
        <w:t>)(</w:t>
      </w:r>
      <w:proofErr w:type="gramEnd"/>
      <w:r>
        <w:t>a).</w:t>
      </w:r>
    </w:p>
  </w:footnote>
  <w:footnote w:id="3">
    <w:p w:rsidR="007932BF" w:rsidRDefault="007932BF">
      <w:pPr>
        <w:pStyle w:val="FootnoteText"/>
      </w:pPr>
      <w:r>
        <w:rPr>
          <w:rStyle w:val="FootnoteReference"/>
        </w:rPr>
        <w:footnoteRef/>
      </w:r>
      <w:r>
        <w:t xml:space="preserve"> WAC 246-650-020(1</w:t>
      </w:r>
      <w:proofErr w:type="gramStart"/>
      <w:r>
        <w:t>)(</w:t>
      </w:r>
      <w:proofErr w:type="gramEnd"/>
      <w:r>
        <w:t>b).</w:t>
      </w:r>
    </w:p>
  </w:footnote>
  <w:footnote w:id="4">
    <w:p w:rsidR="007932BF" w:rsidRDefault="007932BF">
      <w:pPr>
        <w:pStyle w:val="FootnoteText"/>
      </w:pPr>
      <w:r>
        <w:rPr>
          <w:rStyle w:val="FootnoteReference"/>
        </w:rPr>
        <w:footnoteRef/>
      </w:r>
      <w:r>
        <w:t xml:space="preserve"> WAC 246-650-020(1</w:t>
      </w:r>
      <w:proofErr w:type="gramStart"/>
      <w:r>
        <w:t>)(</w:t>
      </w:r>
      <w:proofErr w:type="gramEnd"/>
      <w:r>
        <w:t>e).</w:t>
      </w:r>
    </w:p>
  </w:footnote>
  <w:footnote w:id="5">
    <w:p w:rsidR="007932BF" w:rsidRDefault="007932BF">
      <w:pPr>
        <w:pStyle w:val="FootnoteText"/>
      </w:pPr>
      <w:r>
        <w:rPr>
          <w:rStyle w:val="FootnoteReference"/>
        </w:rPr>
        <w:footnoteRef/>
      </w:r>
      <w:r>
        <w:t xml:space="preserve"> WAC 246-650-020(1</w:t>
      </w:r>
      <w:proofErr w:type="gramStart"/>
      <w:r>
        <w:t>)(</w:t>
      </w:r>
      <w:proofErr w:type="gramEnd"/>
      <w:r>
        <w:t>f).</w:t>
      </w:r>
    </w:p>
  </w:footnote>
  <w:footnote w:id="6">
    <w:p w:rsidR="007932BF" w:rsidRDefault="007932BF">
      <w:pPr>
        <w:pStyle w:val="FootnoteText"/>
      </w:pPr>
      <w:r>
        <w:rPr>
          <w:rStyle w:val="FootnoteReference"/>
        </w:rPr>
        <w:footnoteRef/>
      </w:r>
      <w:r>
        <w:t xml:space="preserve"> WAC 246-650-020(2</w:t>
      </w:r>
      <w:proofErr w:type="gramStart"/>
      <w:r>
        <w:t>)(</w:t>
      </w:r>
      <w:proofErr w:type="gramEnd"/>
      <w:r>
        <w:t>a).</w:t>
      </w:r>
    </w:p>
  </w:footnote>
  <w:footnote w:id="7">
    <w:p w:rsidR="007932BF" w:rsidRDefault="007932BF">
      <w:pPr>
        <w:pStyle w:val="FootnoteText"/>
      </w:pPr>
      <w:r>
        <w:rPr>
          <w:rStyle w:val="FootnoteReference"/>
        </w:rPr>
        <w:footnoteRef/>
      </w:r>
      <w:r>
        <w:t xml:space="preserve"> WAC 246-650-020(2</w:t>
      </w:r>
      <w:proofErr w:type="gramStart"/>
      <w:r>
        <w:t>)(</w:t>
      </w:r>
      <w:proofErr w:type="gramEnd"/>
      <w:r>
        <w:t>b).</w:t>
      </w:r>
    </w:p>
  </w:footnote>
  <w:footnote w:id="8">
    <w:p w:rsidR="007932BF" w:rsidRDefault="007932BF">
      <w:pPr>
        <w:pStyle w:val="FootnoteText"/>
      </w:pPr>
      <w:r>
        <w:rPr>
          <w:rStyle w:val="FootnoteReference"/>
        </w:rPr>
        <w:footnoteRef/>
      </w:r>
      <w:r>
        <w:t xml:space="preserve"> WAC 246-650-020(2</w:t>
      </w:r>
      <w:proofErr w:type="gramStart"/>
      <w:r>
        <w:t>)(</w:t>
      </w:r>
      <w:proofErr w:type="gramEnd"/>
      <w:r>
        <w:t>c).</w:t>
      </w:r>
    </w:p>
  </w:footnote>
  <w:footnote w:id="9">
    <w:p w:rsidR="007932BF" w:rsidRDefault="007932BF">
      <w:pPr>
        <w:pStyle w:val="FootnoteText"/>
      </w:pPr>
      <w:r>
        <w:rPr>
          <w:rStyle w:val="FootnoteReference"/>
        </w:rPr>
        <w:footnoteRef/>
      </w:r>
      <w:r>
        <w:t xml:space="preserve"> </w:t>
      </w:r>
      <w:proofErr w:type="gramStart"/>
      <w:r>
        <w:t>RCW 70.83.020.</w:t>
      </w:r>
      <w:proofErr w:type="gramEnd"/>
    </w:p>
  </w:footnote>
  <w:footnote w:id="10">
    <w:p w:rsidR="00AD1C09" w:rsidRDefault="00AD1C09">
      <w:pPr>
        <w:pStyle w:val="FootnoteText"/>
      </w:pPr>
      <w:r>
        <w:rPr>
          <w:rStyle w:val="FootnoteReference"/>
        </w:rPr>
        <w:footnoteRef/>
      </w:r>
      <w:r>
        <w:t xml:space="preserve"> </w:t>
      </w:r>
      <w:proofErr w:type="gramStart"/>
      <w:r>
        <w:t>RCW 7.70.065(1).</w:t>
      </w:r>
      <w:proofErr w:type="gramEnd"/>
    </w:p>
  </w:footnote>
  <w:footnote w:id="11">
    <w:p w:rsidR="007932BF" w:rsidRDefault="007932BF">
      <w:pPr>
        <w:pStyle w:val="FootnoteText"/>
      </w:pPr>
      <w:r>
        <w:rPr>
          <w:rStyle w:val="FootnoteReference"/>
        </w:rPr>
        <w:footnoteRef/>
      </w:r>
      <w:r>
        <w:t xml:space="preserve"> </w:t>
      </w:r>
      <w:proofErr w:type="gramStart"/>
      <w:r>
        <w:t>RCW 70.83.030.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0657"/>
    <w:multiLevelType w:val="hybridMultilevel"/>
    <w:tmpl w:val="AE96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32BF"/>
    <w:multiLevelType w:val="hybridMultilevel"/>
    <w:tmpl w:val="94AC2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9651C5"/>
    <w:multiLevelType w:val="hybridMultilevel"/>
    <w:tmpl w:val="76C4B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64E7F"/>
    <w:rsid w:val="000D4519"/>
    <w:rsid w:val="00116A8B"/>
    <w:rsid w:val="001C3039"/>
    <w:rsid w:val="002573E6"/>
    <w:rsid w:val="00264E7F"/>
    <w:rsid w:val="002F3A57"/>
    <w:rsid w:val="00301CED"/>
    <w:rsid w:val="005A07AB"/>
    <w:rsid w:val="00737CE7"/>
    <w:rsid w:val="00751593"/>
    <w:rsid w:val="00762C30"/>
    <w:rsid w:val="007932BF"/>
    <w:rsid w:val="00AD1C09"/>
    <w:rsid w:val="00B21CF9"/>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7F"/>
    <w:pPr>
      <w:spacing w:after="0" w:line="240" w:lineRule="auto"/>
      <w:jc w:val="both"/>
    </w:pPr>
    <w:rPr>
      <w:rFonts w:eastAsia="Times New Roman"/>
    </w:rPr>
  </w:style>
  <w:style w:type="paragraph" w:styleId="Heading1">
    <w:name w:val="heading 1"/>
    <w:basedOn w:val="Normal"/>
    <w:next w:val="Normal"/>
    <w:link w:val="Heading1Char"/>
    <w:qFormat/>
    <w:rsid w:val="00264E7F"/>
    <w:pPr>
      <w:keepNext/>
      <w:keepLines/>
      <w:widowControl w:val="0"/>
      <w:jc w:val="center"/>
      <w:outlineLvl w:val="0"/>
    </w:pPr>
    <w:rPr>
      <w:b/>
      <w:kern w:val="28"/>
    </w:rPr>
  </w:style>
  <w:style w:type="paragraph" w:styleId="Heading2">
    <w:name w:val="heading 2"/>
    <w:basedOn w:val="Normal"/>
    <w:next w:val="Normal"/>
    <w:link w:val="Heading2Char"/>
    <w:qFormat/>
    <w:rsid w:val="00264E7F"/>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4E7F"/>
    <w:rPr>
      <w:rFonts w:eastAsia="Times New Roman"/>
      <w:b/>
      <w:kern w:val="28"/>
    </w:rPr>
  </w:style>
  <w:style w:type="character" w:customStyle="1" w:styleId="Heading2Char">
    <w:name w:val="Heading 2 Char"/>
    <w:basedOn w:val="DefaultParagraphFont"/>
    <w:link w:val="Heading2"/>
    <w:rsid w:val="00264E7F"/>
    <w:rPr>
      <w:rFonts w:eastAsia="Times New Roman"/>
      <w:b/>
    </w:rPr>
  </w:style>
  <w:style w:type="paragraph" w:styleId="ListBullet">
    <w:name w:val="List Bullet"/>
    <w:basedOn w:val="Normal"/>
    <w:next w:val="Normal"/>
    <w:autoRedefine/>
    <w:semiHidden/>
    <w:rsid w:val="00264E7F"/>
    <w:pPr>
      <w:numPr>
        <w:numId w:val="3"/>
      </w:numPr>
    </w:pPr>
  </w:style>
  <w:style w:type="paragraph" w:styleId="FootnoteText">
    <w:name w:val="footnote text"/>
    <w:basedOn w:val="Normal"/>
    <w:link w:val="FootnoteTextChar"/>
    <w:uiPriority w:val="99"/>
    <w:semiHidden/>
    <w:unhideWhenUsed/>
    <w:rsid w:val="001C3039"/>
    <w:rPr>
      <w:sz w:val="20"/>
    </w:rPr>
  </w:style>
  <w:style w:type="character" w:customStyle="1" w:styleId="FootnoteTextChar">
    <w:name w:val="Footnote Text Char"/>
    <w:basedOn w:val="DefaultParagraphFont"/>
    <w:link w:val="FootnoteText"/>
    <w:uiPriority w:val="99"/>
    <w:semiHidden/>
    <w:rsid w:val="001C3039"/>
    <w:rPr>
      <w:rFonts w:eastAsia="Times New Roman"/>
      <w:sz w:val="20"/>
    </w:rPr>
  </w:style>
  <w:style w:type="character" w:styleId="FootnoteReference">
    <w:name w:val="footnote reference"/>
    <w:basedOn w:val="DefaultParagraphFont"/>
    <w:uiPriority w:val="99"/>
    <w:semiHidden/>
    <w:unhideWhenUsed/>
    <w:rsid w:val="001C3039"/>
    <w:rPr>
      <w:vertAlign w:val="superscript"/>
    </w:rPr>
  </w:style>
  <w:style w:type="paragraph" w:styleId="BalloonText">
    <w:name w:val="Balloon Text"/>
    <w:basedOn w:val="Normal"/>
    <w:link w:val="BalloonTextChar"/>
    <w:uiPriority w:val="99"/>
    <w:semiHidden/>
    <w:unhideWhenUsed/>
    <w:rsid w:val="00301CED"/>
    <w:rPr>
      <w:rFonts w:ascii="Tahoma" w:hAnsi="Tahoma" w:cs="Tahoma"/>
      <w:sz w:val="16"/>
      <w:szCs w:val="16"/>
    </w:rPr>
  </w:style>
  <w:style w:type="character" w:customStyle="1" w:styleId="BalloonTextChar">
    <w:name w:val="Balloon Text Char"/>
    <w:basedOn w:val="DefaultParagraphFont"/>
    <w:link w:val="BalloonText"/>
    <w:uiPriority w:val="99"/>
    <w:semiHidden/>
    <w:rsid w:val="00301CED"/>
    <w:rPr>
      <w:rFonts w:ascii="Tahoma" w:eastAsia="Times New Roman" w:hAnsi="Tahoma" w:cs="Tahoma"/>
      <w:sz w:val="16"/>
      <w:szCs w:val="16"/>
    </w:rPr>
  </w:style>
  <w:style w:type="paragraph" w:styleId="ListParagraph">
    <w:name w:val="List Paragraph"/>
    <w:basedOn w:val="Normal"/>
    <w:uiPriority w:val="34"/>
    <w:qFormat/>
    <w:rsid w:val="00301CED"/>
    <w:pPr>
      <w:ind w:left="720"/>
      <w:contextualSpacing/>
    </w:pPr>
  </w:style>
  <w:style w:type="character" w:styleId="Emphasis">
    <w:name w:val="Emphasis"/>
    <w:basedOn w:val="DefaultParagraphFont"/>
    <w:uiPriority w:val="20"/>
    <w:qFormat/>
    <w:rsid w:val="007932B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AC59E0-36B6-4F2C-82E2-0604AA8472E2}"/>
</file>

<file path=customXml/itemProps2.xml><?xml version="1.0" encoding="utf-8"?>
<ds:datastoreItem xmlns:ds="http://schemas.openxmlformats.org/officeDocument/2006/customXml" ds:itemID="{0C63DC56-0ED5-4C68-A184-B35DC3EE68C5}"/>
</file>

<file path=customXml/itemProps3.xml><?xml version="1.0" encoding="utf-8"?>
<ds:datastoreItem xmlns:ds="http://schemas.openxmlformats.org/officeDocument/2006/customXml" ds:itemID="{51DE504E-5DE6-4FA6-BC12-16E7852F6AE8}"/>
</file>

<file path=docProps/app.xml><?xml version="1.0" encoding="utf-8"?>
<Properties xmlns="http://schemas.openxmlformats.org/officeDocument/2006/extended-properties" xmlns:vt="http://schemas.openxmlformats.org/officeDocument/2006/docPropsVTypes">
  <Template>Normal.dotm</Template>
  <TotalTime>2</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2012-12-04T23:00:00Z</dcterms:created>
  <dcterms:modified xsi:type="dcterms:W3CDTF">2012-12-04T23:01:00Z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