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24E" w:rsidRDefault="008C224E" w:rsidP="008C224E">
      <w:pPr>
        <w:pStyle w:val="Heading1"/>
      </w:pPr>
      <w:bookmarkStart w:id="0" w:name="_Toc161565703"/>
      <w:r>
        <w:t>OFFICE-BASED LABORATORIES</w:t>
      </w:r>
      <w:bookmarkEnd w:id="0"/>
    </w:p>
    <w:p w:rsidR="008C224E" w:rsidRDefault="008C224E" w:rsidP="008C224E">
      <w:pPr>
        <w:pStyle w:val="Heading1"/>
        <w:jc w:val="both"/>
        <w:rPr>
          <w:b w:val="0"/>
        </w:rPr>
      </w:pPr>
    </w:p>
    <w:p w:rsidR="008C224E" w:rsidRDefault="008C224E" w:rsidP="008C224E">
      <w:pPr>
        <w:pStyle w:val="Heading1"/>
        <w:jc w:val="both"/>
        <w:rPr>
          <w:b w:val="0"/>
        </w:rPr>
      </w:pPr>
    </w:p>
    <w:p w:rsidR="008C224E" w:rsidRDefault="008C224E" w:rsidP="008C224E">
      <w:pPr>
        <w:rPr>
          <w:b/>
        </w:rPr>
      </w:pPr>
      <w:r>
        <w:rPr>
          <w:b/>
        </w:rPr>
        <w:t>Must office based laboratories be licensed?</w:t>
      </w:r>
    </w:p>
    <w:p w:rsidR="008C224E" w:rsidRDefault="008C224E" w:rsidP="008C224E">
      <w:pPr>
        <w:rPr>
          <w:b/>
        </w:rPr>
      </w:pPr>
    </w:p>
    <w:p w:rsidR="008C224E" w:rsidRDefault="008C224E" w:rsidP="008C224E">
      <w:r>
        <w:tab/>
        <w:t>Yes.  Washington law requires that any “medical test site,” meaning any facility performing testing on material derived from the human body (e.g., tissue, blood, urine, etc.) for heath care, treatment,</w:t>
      </w:r>
      <w:r w:rsidR="00487F09">
        <w:rPr>
          <w:rStyle w:val="FootnoteReference"/>
        </w:rPr>
        <w:footnoteReference w:id="1"/>
      </w:r>
      <w:r>
        <w:t xml:space="preserve"> or screening be licensed.</w:t>
      </w:r>
      <w:r w:rsidR="00487F09">
        <w:rPr>
          <w:rStyle w:val="FootnoteReference"/>
        </w:rPr>
        <w:footnoteReference w:id="2"/>
      </w:r>
      <w:r>
        <w:t xml:space="preserve">  Such facilities also must be certified by the Secretary of Health and Human Services under the Clinical Laboratory Amendments of 1988 (CLIA).</w:t>
      </w:r>
      <w:r w:rsidR="00487F09">
        <w:rPr>
          <w:rStyle w:val="FootnoteReference"/>
        </w:rPr>
        <w:footnoteReference w:id="3"/>
      </w:r>
    </w:p>
    <w:p w:rsidR="008C224E" w:rsidRDefault="008C224E" w:rsidP="008C224E"/>
    <w:p w:rsidR="008C224E" w:rsidRDefault="008C224E" w:rsidP="008C224E">
      <w:pPr>
        <w:rPr>
          <w:b/>
        </w:rPr>
      </w:pPr>
      <w:r>
        <w:rPr>
          <w:b/>
        </w:rPr>
        <w:t>What kinds of licenses are required?</w:t>
      </w:r>
    </w:p>
    <w:p w:rsidR="008C224E" w:rsidRDefault="008C224E" w:rsidP="008C224E">
      <w:pPr>
        <w:rPr>
          <w:b/>
        </w:rPr>
      </w:pPr>
    </w:p>
    <w:p w:rsidR="008C224E" w:rsidRDefault="008C224E" w:rsidP="008C224E">
      <w:r>
        <w:tab/>
        <w:t>The kind of license required depends on the complexity of the testing to be performed at the medical test site.  If all the tests to be performed are cleared by the Food and Drug Administration (FDA) for home use, and are determined by the Centers for Disease Control (CDC) or FDA to be so simple and accurate that there is little risk of error and no reasonable risk of harm to the patient, then the laboratory can qualify, and apply, for a Certificate of Waiver under Washington law</w:t>
      </w:r>
      <w:r w:rsidR="006D577A">
        <w:rPr>
          <w:rStyle w:val="FootnoteReference"/>
        </w:rPr>
        <w:footnoteReference w:id="4"/>
      </w:r>
      <w:r>
        <w:t xml:space="preserve"> and CLIA.</w:t>
      </w:r>
      <w:r w:rsidR="006D577A">
        <w:rPr>
          <w:rStyle w:val="FootnoteReference"/>
        </w:rPr>
        <w:footnoteReference w:id="5"/>
      </w:r>
      <w:r>
        <w:t xml:space="preserve">  </w:t>
      </w:r>
    </w:p>
    <w:p w:rsidR="00086452" w:rsidRDefault="00086452" w:rsidP="008C224E"/>
    <w:p w:rsidR="00086452" w:rsidRDefault="00086452" w:rsidP="008C224E">
      <w:r>
        <w:rPr>
          <w:b/>
        </w:rPr>
        <w:t>How long is a certificate of waiver valid?</w:t>
      </w:r>
    </w:p>
    <w:p w:rsidR="00086452" w:rsidRDefault="00086452" w:rsidP="008C224E"/>
    <w:p w:rsidR="00086452" w:rsidRPr="00086452" w:rsidRDefault="00086452" w:rsidP="008C224E">
      <w:r>
        <w:tab/>
        <w:t>A certificate of waiver issued by the Department of Health &amp; Human Services</w:t>
      </w:r>
      <w:r w:rsidR="00277E45">
        <w:t xml:space="preserve"> (DHHS)</w:t>
      </w:r>
      <w:r>
        <w:t xml:space="preserve"> is valid for no more than two years.</w:t>
      </w:r>
      <w:r>
        <w:rPr>
          <w:rStyle w:val="FootnoteReference"/>
        </w:rPr>
        <w:footnoteReference w:id="6"/>
      </w:r>
      <w:r>
        <w:t xml:space="preserve">  An application for renewal of a certificate of waiver </w:t>
      </w:r>
      <w:r w:rsidR="00277E45">
        <w:t>must be completed and returned to DHHS not less than nine months, but not more than one year, before the expiration of the certificate.</w:t>
      </w:r>
      <w:r w:rsidR="00277E45">
        <w:rPr>
          <w:rStyle w:val="FootnoteReference"/>
        </w:rPr>
        <w:footnoteReference w:id="7"/>
      </w:r>
    </w:p>
    <w:p w:rsidR="008C224E" w:rsidRDefault="008C224E" w:rsidP="008C224E"/>
    <w:p w:rsidR="008C224E" w:rsidRDefault="008C224E" w:rsidP="008C224E">
      <w:pPr>
        <w:rPr>
          <w:b/>
        </w:rPr>
      </w:pPr>
      <w:r>
        <w:rPr>
          <w:b/>
        </w:rPr>
        <w:t>What laboratory tests may be waived under CLIA and Washington law?</w:t>
      </w:r>
    </w:p>
    <w:p w:rsidR="008C224E" w:rsidRDefault="008C224E" w:rsidP="008C224E">
      <w:pPr>
        <w:rPr>
          <w:b/>
        </w:rPr>
      </w:pPr>
    </w:p>
    <w:p w:rsidR="008C224E" w:rsidRDefault="008C224E" w:rsidP="008C224E">
      <w:r>
        <w:tab/>
        <w:t>Waived tests are those tests that are cleared by the FDA for home use, that are so simple that there is little risk of error, and that pose no reasonable risk of harm to the patient if performed incorrectly.</w:t>
      </w:r>
      <w:r w:rsidR="006D577A">
        <w:rPr>
          <w:rStyle w:val="FootnoteReference"/>
        </w:rPr>
        <w:footnoteReference w:id="8"/>
      </w:r>
      <w:r>
        <w:t xml:space="preserve">  The specific tests that are subject to waiver include:</w:t>
      </w:r>
    </w:p>
    <w:p w:rsidR="008C224E" w:rsidRDefault="008C224E" w:rsidP="008C224E"/>
    <w:p w:rsidR="008C224E" w:rsidRDefault="008C224E" w:rsidP="008C224E">
      <w:pPr>
        <w:numPr>
          <w:ilvl w:val="0"/>
          <w:numId w:val="2"/>
        </w:numPr>
      </w:pPr>
      <w:r>
        <w:t>Dipstick or Tablet reagent urinalysis (non-automated) for the following:</w:t>
      </w:r>
      <w:r w:rsidR="006D577A">
        <w:rPr>
          <w:rStyle w:val="FootnoteReference"/>
        </w:rPr>
        <w:footnoteReference w:id="9"/>
      </w:r>
    </w:p>
    <w:p w:rsidR="007768EE" w:rsidRDefault="007768EE" w:rsidP="007768EE">
      <w:pPr>
        <w:ind w:left="720"/>
      </w:pPr>
    </w:p>
    <w:p w:rsidR="007768EE" w:rsidRDefault="007768EE" w:rsidP="007768EE">
      <w:pPr>
        <w:pStyle w:val="ListBullet2"/>
      </w:pPr>
      <w:proofErr w:type="spellStart"/>
      <w:r>
        <w:t>Bilirubin</w:t>
      </w:r>
      <w:proofErr w:type="spellEnd"/>
      <w:r>
        <w:t>.</w:t>
      </w:r>
    </w:p>
    <w:p w:rsidR="007768EE" w:rsidRPr="007768EE" w:rsidRDefault="007768EE" w:rsidP="007768EE"/>
    <w:p w:rsidR="007768EE" w:rsidRDefault="007768EE" w:rsidP="007768EE">
      <w:pPr>
        <w:pStyle w:val="ListBullet2"/>
      </w:pPr>
      <w:r>
        <w:t>Glucose.</w:t>
      </w:r>
    </w:p>
    <w:p w:rsidR="007768EE" w:rsidRDefault="007768EE" w:rsidP="007768EE">
      <w:pPr>
        <w:numPr>
          <w:ilvl w:val="1"/>
          <w:numId w:val="2"/>
        </w:numPr>
      </w:pPr>
      <w:r>
        <w:t>Hemoglobin.</w:t>
      </w:r>
    </w:p>
    <w:p w:rsidR="007768EE" w:rsidRDefault="007768EE" w:rsidP="007768EE">
      <w:pPr>
        <w:ind w:left="1440"/>
      </w:pPr>
    </w:p>
    <w:p w:rsidR="007768EE" w:rsidRDefault="007768EE" w:rsidP="007768EE">
      <w:pPr>
        <w:numPr>
          <w:ilvl w:val="1"/>
          <w:numId w:val="2"/>
        </w:numPr>
      </w:pPr>
      <w:r>
        <w:t>Ketones.</w:t>
      </w:r>
    </w:p>
    <w:p w:rsidR="007768EE" w:rsidRDefault="007768EE" w:rsidP="007768EE">
      <w:pPr>
        <w:pStyle w:val="ListParagraph"/>
      </w:pPr>
    </w:p>
    <w:p w:rsidR="007768EE" w:rsidRDefault="007768EE" w:rsidP="007768EE">
      <w:pPr>
        <w:numPr>
          <w:ilvl w:val="1"/>
          <w:numId w:val="2"/>
        </w:numPr>
      </w:pPr>
      <w:r>
        <w:t>Leukocytes.</w:t>
      </w:r>
    </w:p>
    <w:p w:rsidR="007768EE" w:rsidRDefault="007768EE" w:rsidP="007768EE">
      <w:pPr>
        <w:pStyle w:val="ListParagraph"/>
      </w:pPr>
    </w:p>
    <w:p w:rsidR="007768EE" w:rsidRDefault="007768EE" w:rsidP="007768EE">
      <w:pPr>
        <w:numPr>
          <w:ilvl w:val="1"/>
          <w:numId w:val="2"/>
        </w:numPr>
      </w:pPr>
      <w:r>
        <w:t>Nitrite.</w:t>
      </w:r>
    </w:p>
    <w:p w:rsidR="007768EE" w:rsidRDefault="007768EE" w:rsidP="007768EE">
      <w:pPr>
        <w:pStyle w:val="ListParagraph"/>
      </w:pPr>
    </w:p>
    <w:p w:rsidR="007768EE" w:rsidRDefault="007768EE" w:rsidP="007768EE">
      <w:pPr>
        <w:numPr>
          <w:ilvl w:val="1"/>
          <w:numId w:val="2"/>
        </w:numPr>
      </w:pPr>
      <w:proofErr w:type="spellStart"/>
      <w:proofErr w:type="gramStart"/>
      <w:r>
        <w:t>pH</w:t>
      </w:r>
      <w:proofErr w:type="gramEnd"/>
      <w:r>
        <w:t>.</w:t>
      </w:r>
      <w:proofErr w:type="spellEnd"/>
    </w:p>
    <w:p w:rsidR="007768EE" w:rsidRDefault="007768EE" w:rsidP="007768EE">
      <w:pPr>
        <w:pStyle w:val="ListParagraph"/>
      </w:pPr>
    </w:p>
    <w:p w:rsidR="007768EE" w:rsidRDefault="008C224E" w:rsidP="007768EE">
      <w:pPr>
        <w:numPr>
          <w:ilvl w:val="1"/>
          <w:numId w:val="2"/>
        </w:numPr>
      </w:pPr>
      <w:r>
        <w:t>Protein.</w:t>
      </w:r>
    </w:p>
    <w:p w:rsidR="007768EE" w:rsidRDefault="007768EE" w:rsidP="007768EE">
      <w:pPr>
        <w:pStyle w:val="ListParagraph"/>
      </w:pPr>
    </w:p>
    <w:p w:rsidR="007768EE" w:rsidRDefault="008C224E" w:rsidP="007768EE">
      <w:pPr>
        <w:numPr>
          <w:ilvl w:val="1"/>
          <w:numId w:val="2"/>
        </w:numPr>
      </w:pPr>
      <w:r>
        <w:t>Specific gravity.</w:t>
      </w:r>
    </w:p>
    <w:p w:rsidR="007768EE" w:rsidRDefault="007768EE" w:rsidP="007768EE">
      <w:pPr>
        <w:pStyle w:val="ListParagraph"/>
      </w:pPr>
    </w:p>
    <w:p w:rsidR="008C224E" w:rsidRDefault="008C224E" w:rsidP="007768EE">
      <w:pPr>
        <w:numPr>
          <w:ilvl w:val="1"/>
          <w:numId w:val="2"/>
        </w:numPr>
      </w:pPr>
      <w:proofErr w:type="spellStart"/>
      <w:r>
        <w:t>Urobilinogen</w:t>
      </w:r>
      <w:proofErr w:type="spellEnd"/>
      <w:r>
        <w:t>.</w:t>
      </w:r>
    </w:p>
    <w:p w:rsidR="008C224E" w:rsidRDefault="008C224E" w:rsidP="008C224E"/>
    <w:p w:rsidR="008C224E" w:rsidRDefault="008C224E" w:rsidP="008C224E">
      <w:pPr>
        <w:numPr>
          <w:ilvl w:val="2"/>
          <w:numId w:val="2"/>
        </w:numPr>
        <w:tabs>
          <w:tab w:val="clear" w:pos="2160"/>
          <w:tab w:val="num" w:pos="720"/>
        </w:tabs>
        <w:ind w:left="720"/>
      </w:pPr>
      <w:r>
        <w:t>Fecal occult blood.</w:t>
      </w:r>
    </w:p>
    <w:p w:rsidR="008C224E" w:rsidRDefault="008C224E" w:rsidP="008C224E"/>
    <w:p w:rsidR="008C224E" w:rsidRDefault="008C224E" w:rsidP="008C224E">
      <w:pPr>
        <w:numPr>
          <w:ilvl w:val="2"/>
          <w:numId w:val="2"/>
        </w:numPr>
        <w:tabs>
          <w:tab w:val="clear" w:pos="2160"/>
          <w:tab w:val="num" w:pos="720"/>
        </w:tabs>
        <w:ind w:left="720"/>
      </w:pPr>
      <w:r>
        <w:t>Ovulation tests – visual color comparison tests for luteinizing hormones.</w:t>
      </w:r>
    </w:p>
    <w:p w:rsidR="008C224E" w:rsidRDefault="008C224E" w:rsidP="008C224E"/>
    <w:p w:rsidR="008C224E" w:rsidRDefault="008C224E" w:rsidP="008C224E">
      <w:pPr>
        <w:numPr>
          <w:ilvl w:val="0"/>
          <w:numId w:val="3"/>
        </w:numPr>
      </w:pPr>
      <w:r>
        <w:t>Urine pregnancy tests – visual color comparison.</w:t>
      </w:r>
    </w:p>
    <w:p w:rsidR="008C224E" w:rsidRDefault="008C224E" w:rsidP="008C224E"/>
    <w:p w:rsidR="008C224E" w:rsidRDefault="00167FD8" w:rsidP="008C224E">
      <w:pPr>
        <w:numPr>
          <w:ilvl w:val="0"/>
          <w:numId w:val="3"/>
        </w:numPr>
      </w:pPr>
      <w:r>
        <w:t>Erythrocyte</w:t>
      </w:r>
      <w:r w:rsidR="008C224E">
        <w:t xml:space="preserve"> sedimentation rate (non-automated).</w:t>
      </w:r>
    </w:p>
    <w:p w:rsidR="00000000" w:rsidRDefault="007768EE">
      <w:pPr>
        <w:pStyle w:val="ListParagraph"/>
      </w:pPr>
    </w:p>
    <w:p w:rsidR="00167FD8" w:rsidRDefault="00167FD8" w:rsidP="008C224E">
      <w:pPr>
        <w:numPr>
          <w:ilvl w:val="0"/>
          <w:numId w:val="3"/>
        </w:numPr>
      </w:pPr>
      <w:r>
        <w:t>Hemoglobin – copper sulfate (non-automated).</w:t>
      </w:r>
    </w:p>
    <w:p w:rsidR="008C224E" w:rsidRDefault="008C224E" w:rsidP="008C224E"/>
    <w:p w:rsidR="008C224E" w:rsidRDefault="008C224E" w:rsidP="008C224E">
      <w:pPr>
        <w:numPr>
          <w:ilvl w:val="0"/>
          <w:numId w:val="3"/>
        </w:numPr>
      </w:pPr>
      <w:r>
        <w:t>Blood glucose by glucose monitoring devices</w:t>
      </w:r>
      <w:r w:rsidR="00167FD8">
        <w:t xml:space="preserve"> cleared by the FDA specifically for home use</w:t>
      </w:r>
      <w:r>
        <w:t>.</w:t>
      </w:r>
    </w:p>
    <w:p w:rsidR="008C224E" w:rsidRDefault="008C224E" w:rsidP="008C224E"/>
    <w:p w:rsidR="008C224E" w:rsidRDefault="008C224E" w:rsidP="008C224E">
      <w:pPr>
        <w:numPr>
          <w:ilvl w:val="0"/>
          <w:numId w:val="3"/>
        </w:numPr>
      </w:pPr>
      <w:r>
        <w:t>Spun microhematocrit.</w:t>
      </w:r>
    </w:p>
    <w:p w:rsidR="008C224E" w:rsidRDefault="008C224E" w:rsidP="008C224E"/>
    <w:p w:rsidR="008C224E" w:rsidRDefault="008C224E" w:rsidP="008C224E">
      <w:pPr>
        <w:numPr>
          <w:ilvl w:val="0"/>
          <w:numId w:val="3"/>
        </w:numPr>
      </w:pPr>
      <w:r>
        <w:t>Hemoglobin by single analyte instruments with self-contained or component features to perform specific reagent interaction, providing direct measurement and readout.</w:t>
      </w:r>
    </w:p>
    <w:p w:rsidR="008C224E" w:rsidRDefault="008C224E" w:rsidP="008C224E"/>
    <w:p w:rsidR="008C224E" w:rsidRDefault="008C224E" w:rsidP="008C224E">
      <w:pPr>
        <w:rPr>
          <w:b/>
        </w:rPr>
      </w:pPr>
      <w:r>
        <w:rPr>
          <w:b/>
        </w:rPr>
        <w:t>Is anything further required of an office-based laboratory that obtains and operates under a Certificate of Waiver?</w:t>
      </w:r>
    </w:p>
    <w:p w:rsidR="008C224E" w:rsidRDefault="008C224E" w:rsidP="008C224E"/>
    <w:p w:rsidR="008C224E" w:rsidRDefault="008C224E" w:rsidP="008C224E">
      <w:r>
        <w:tab/>
        <w:t xml:space="preserve">Yes, laboratories operating under a Certificate of Waiver must enroll in the CLIA </w:t>
      </w:r>
      <w:proofErr w:type="gramStart"/>
      <w:r>
        <w:t>program,</w:t>
      </w:r>
      <w:proofErr w:type="gramEnd"/>
      <w:r>
        <w:t xml:space="preserve"> pay applicable certificate fees biennially,</w:t>
      </w:r>
      <w:r w:rsidR="00AE4272">
        <w:rPr>
          <w:rStyle w:val="FootnoteReference"/>
        </w:rPr>
        <w:footnoteReference w:id="10"/>
      </w:r>
      <w:r>
        <w:t xml:space="preserve"> </w:t>
      </w:r>
      <w:r w:rsidR="00086452">
        <w:t>comply with on-site inspection rules,</w:t>
      </w:r>
      <w:r w:rsidR="00086452">
        <w:rPr>
          <w:rStyle w:val="FootnoteReference"/>
        </w:rPr>
        <w:footnoteReference w:id="11"/>
      </w:r>
      <w:r w:rsidR="00086452">
        <w:t xml:space="preserve"> </w:t>
      </w:r>
      <w:r>
        <w:t>and follow manufacturers’ test instructions.</w:t>
      </w:r>
      <w:r w:rsidR="00086452">
        <w:rPr>
          <w:rStyle w:val="FootnoteReference"/>
        </w:rPr>
        <w:footnoteReference w:id="12"/>
      </w:r>
    </w:p>
    <w:p w:rsidR="008C224E" w:rsidRDefault="008C224E" w:rsidP="008C224E"/>
    <w:p w:rsidR="008C224E" w:rsidRDefault="008C224E" w:rsidP="008C224E">
      <w:pPr>
        <w:rPr>
          <w:b/>
        </w:rPr>
      </w:pPr>
      <w:r>
        <w:rPr>
          <w:b/>
        </w:rPr>
        <w:t>Are office-based laboratories subject to inspection even if they have been granted a Certificate of Waiver?</w:t>
      </w:r>
    </w:p>
    <w:p w:rsidR="008C224E" w:rsidRDefault="008C224E" w:rsidP="008C224E">
      <w:pPr>
        <w:rPr>
          <w:b/>
        </w:rPr>
      </w:pPr>
    </w:p>
    <w:p w:rsidR="002F3A57" w:rsidRDefault="008C224E" w:rsidP="008C224E">
      <w:r>
        <w:tab/>
        <w:t xml:space="preserve">Yes.  </w:t>
      </w:r>
      <w:r w:rsidR="00086452">
        <w:t>One of the requirements for the issuance of a waiver is that the laboratory issued a certificate of waiver must permit announced or unannounced inspections by the DHHS in accordance with the CLIA rules.</w:t>
      </w:r>
      <w:r w:rsidR="00086452">
        <w:rPr>
          <w:rStyle w:val="FootnoteReference"/>
        </w:rPr>
        <w:footnoteReference w:id="13"/>
      </w:r>
      <w:r w:rsidR="00086452">
        <w:t xml:space="preserve">  </w:t>
      </w:r>
      <w:r>
        <w:t>The Center for Medicare and Medicaid Services (CMS) has indicated that it will visit 2% of all laboratory types, including physician office laboratories, annually.</w:t>
      </w:r>
      <w:r w:rsidR="00277E45">
        <w:rPr>
          <w:rStyle w:val="FootnoteReference"/>
        </w:rPr>
        <w:footnoteReference w:id="14"/>
      </w:r>
      <w:r>
        <w:t xml:space="preserve">  Inspectors will focus on the education and training of testing personnel to ensure quality testing.</w:t>
      </w:r>
      <w:r w:rsidR="00277E45">
        <w:rPr>
          <w:rStyle w:val="FootnoteReference"/>
        </w:rPr>
        <w:footnoteReference w:id="15"/>
      </w:r>
      <w:r>
        <w:t xml:space="preserve">  If quality problems are identified, the inspectors will provide assistance to the laboratories to achieve accurate and reliable results.</w:t>
      </w:r>
      <w:r w:rsidR="00DB61D5">
        <w:rPr>
          <w:rStyle w:val="FootnoteReference"/>
        </w:rPr>
        <w:footnoteReference w:id="16"/>
      </w:r>
      <w:r>
        <w:t xml:space="preserve">  The inspectors will also verify that the laboratories are operating under the correct certificates.</w:t>
      </w:r>
      <w:r w:rsidR="00DB61D5">
        <w:rPr>
          <w:rStyle w:val="FootnoteReference"/>
        </w:rPr>
        <w:footnoteReference w:id="17"/>
      </w:r>
      <w:r>
        <w:t xml:space="preserve">  Inspections may also be performed by the Washington State Department of Health to ensure compliance with applicable laws and regulations.</w:t>
      </w:r>
      <w:r w:rsidR="00DB61D5">
        <w:rPr>
          <w:rStyle w:val="FootnoteReference"/>
        </w:rPr>
        <w:footnoteReference w:id="18"/>
      </w:r>
    </w:p>
    <w:p w:rsidR="008C224E" w:rsidRDefault="008C224E" w:rsidP="008C224E"/>
    <w:p w:rsidR="008C224E" w:rsidRDefault="008C224E" w:rsidP="008C224E"/>
    <w:sectPr w:rsidR="008C224E"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E45" w:rsidRDefault="00277E45" w:rsidP="00487F09">
      <w:r>
        <w:separator/>
      </w:r>
    </w:p>
  </w:endnote>
  <w:endnote w:type="continuationSeparator" w:id="0">
    <w:p w:rsidR="00277E45" w:rsidRDefault="00277E45" w:rsidP="00487F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E45" w:rsidRDefault="00277E45" w:rsidP="00487F09">
      <w:r>
        <w:separator/>
      </w:r>
    </w:p>
  </w:footnote>
  <w:footnote w:type="continuationSeparator" w:id="0">
    <w:p w:rsidR="00277E45" w:rsidRDefault="00277E45" w:rsidP="00487F09">
      <w:r>
        <w:continuationSeparator/>
      </w:r>
    </w:p>
  </w:footnote>
  <w:footnote w:id="1">
    <w:p w:rsidR="00277E45" w:rsidRDefault="00277E45">
      <w:pPr>
        <w:pStyle w:val="FootnoteText"/>
      </w:pPr>
      <w:r>
        <w:rPr>
          <w:rStyle w:val="FootnoteReference"/>
        </w:rPr>
        <w:footnoteRef/>
      </w:r>
      <w:r>
        <w:t xml:space="preserve"> </w:t>
      </w:r>
      <w:proofErr w:type="gramStart"/>
      <w:r>
        <w:t>RCW 70.42.010(8).</w:t>
      </w:r>
      <w:proofErr w:type="gramEnd"/>
    </w:p>
  </w:footnote>
  <w:footnote w:id="2">
    <w:p w:rsidR="00277E45" w:rsidRDefault="00277E45">
      <w:pPr>
        <w:pStyle w:val="FootnoteText"/>
      </w:pPr>
      <w:r>
        <w:rPr>
          <w:rStyle w:val="FootnoteReference"/>
        </w:rPr>
        <w:footnoteRef/>
      </w:r>
      <w:r>
        <w:t xml:space="preserve"> </w:t>
      </w:r>
      <w:proofErr w:type="gramStart"/>
      <w:r>
        <w:t>RCW 70.42.020.</w:t>
      </w:r>
      <w:proofErr w:type="gramEnd"/>
    </w:p>
  </w:footnote>
  <w:footnote w:id="3">
    <w:p w:rsidR="00277E45" w:rsidRDefault="00277E4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493.3(a).</w:t>
      </w:r>
      <w:proofErr w:type="gramEnd"/>
    </w:p>
  </w:footnote>
  <w:footnote w:id="4">
    <w:p w:rsidR="00277E45" w:rsidRDefault="00277E45">
      <w:pPr>
        <w:pStyle w:val="FootnoteText"/>
      </w:pPr>
      <w:r>
        <w:rPr>
          <w:rStyle w:val="FootnoteReference"/>
        </w:rPr>
        <w:footnoteRef/>
      </w:r>
      <w:r>
        <w:t xml:space="preserve"> </w:t>
      </w:r>
      <w:proofErr w:type="gramStart"/>
      <w:r>
        <w:t>RCW 70.42.030, WAC 246-338-010(44).</w:t>
      </w:r>
      <w:proofErr w:type="gramEnd"/>
    </w:p>
  </w:footnote>
  <w:footnote w:id="5">
    <w:p w:rsidR="00277E45" w:rsidRDefault="00277E4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493.15.</w:t>
      </w:r>
      <w:proofErr w:type="gramEnd"/>
    </w:p>
  </w:footnote>
  <w:footnote w:id="6">
    <w:p w:rsidR="00277E45" w:rsidRDefault="00277E45">
      <w:pPr>
        <w:pStyle w:val="FootnoteText"/>
      </w:pPr>
      <w:r>
        <w:rPr>
          <w:rStyle w:val="FootnoteReference"/>
        </w:rPr>
        <w:footnoteRef/>
      </w:r>
      <w:r>
        <w:t xml:space="preserve"> 42 C.F.R. </w:t>
      </w:r>
      <w:r w:rsidRPr="00DC2587">
        <w:rPr>
          <w:rFonts w:ascii="Calibri" w:hAnsi="Calibri" w:cs="Calibri"/>
        </w:rPr>
        <w:t>§</w:t>
      </w:r>
      <w:r>
        <w:t xml:space="preserve"> 493.37(e</w:t>
      </w:r>
      <w:proofErr w:type="gramStart"/>
      <w:r>
        <w:t>)(</w:t>
      </w:r>
      <w:proofErr w:type="gramEnd"/>
      <w:r>
        <w:t>1).</w:t>
      </w:r>
    </w:p>
  </w:footnote>
  <w:footnote w:id="7">
    <w:p w:rsidR="00277E45" w:rsidRDefault="00277E4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493.37(f).</w:t>
      </w:r>
      <w:proofErr w:type="gramEnd"/>
    </w:p>
  </w:footnote>
  <w:footnote w:id="8">
    <w:p w:rsidR="00277E45" w:rsidRDefault="00277E45">
      <w:pPr>
        <w:pStyle w:val="FootnoteText"/>
      </w:pPr>
      <w:r>
        <w:rPr>
          <w:rStyle w:val="FootnoteReference"/>
        </w:rPr>
        <w:footnoteRef/>
      </w:r>
      <w:r>
        <w:t xml:space="preserve"> </w:t>
      </w:r>
      <w:proofErr w:type="gramStart"/>
      <w:r>
        <w:t xml:space="preserve">WAC 246-338-010(44), 42 C.F.R. </w:t>
      </w:r>
      <w:r w:rsidRPr="00DC2587">
        <w:rPr>
          <w:rFonts w:ascii="Calibri" w:hAnsi="Calibri" w:cs="Calibri"/>
        </w:rPr>
        <w:t>§</w:t>
      </w:r>
      <w:r>
        <w:t xml:space="preserve"> 489.15(a).</w:t>
      </w:r>
      <w:proofErr w:type="gramEnd"/>
    </w:p>
  </w:footnote>
  <w:footnote w:id="9">
    <w:p w:rsidR="00277E45" w:rsidRDefault="00277E4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489.15(c).</w:t>
      </w:r>
      <w:proofErr w:type="gramEnd"/>
    </w:p>
  </w:footnote>
  <w:footnote w:id="10">
    <w:p w:rsidR="00277E45" w:rsidRDefault="00277E45">
      <w:pPr>
        <w:pStyle w:val="FootnoteText"/>
      </w:pPr>
      <w:r>
        <w:rPr>
          <w:rStyle w:val="FootnoteReference"/>
        </w:rPr>
        <w:footnoteRef/>
      </w:r>
      <w:r>
        <w:t xml:space="preserve"> </w:t>
      </w:r>
      <w:proofErr w:type="gramStart"/>
      <w:r>
        <w:t>WAC 246-338-990(1).</w:t>
      </w:r>
      <w:proofErr w:type="gramEnd"/>
    </w:p>
  </w:footnote>
  <w:footnote w:id="11">
    <w:p w:rsidR="00277E45" w:rsidRDefault="00277E45">
      <w:pPr>
        <w:pStyle w:val="FootnoteText"/>
      </w:pPr>
      <w:r>
        <w:rPr>
          <w:rStyle w:val="FootnoteReference"/>
        </w:rPr>
        <w:footnoteRef/>
      </w:r>
      <w:r>
        <w:t xml:space="preserve"> </w:t>
      </w:r>
      <w:proofErr w:type="gramStart"/>
      <w:r>
        <w:t>WAC 246-338-028.</w:t>
      </w:r>
      <w:proofErr w:type="gramEnd"/>
    </w:p>
  </w:footnote>
  <w:footnote w:id="12">
    <w:p w:rsidR="00277E45" w:rsidRDefault="00277E45">
      <w:pPr>
        <w:pStyle w:val="FootnoteText"/>
      </w:pPr>
      <w:r>
        <w:rPr>
          <w:rStyle w:val="FootnoteReference"/>
        </w:rPr>
        <w:footnoteRef/>
      </w:r>
      <w:r>
        <w:t xml:space="preserve"> </w:t>
      </w:r>
      <w:proofErr w:type="gramStart"/>
      <w:r>
        <w:t>WAC 246-338-246-020, Table 020-1(1).</w:t>
      </w:r>
      <w:proofErr w:type="gramEnd"/>
    </w:p>
  </w:footnote>
  <w:footnote w:id="13">
    <w:p w:rsidR="00277E45" w:rsidRDefault="00277E45">
      <w:pPr>
        <w:pStyle w:val="FootnoteText"/>
      </w:pPr>
      <w:r>
        <w:rPr>
          <w:rStyle w:val="FootnoteReference"/>
        </w:rPr>
        <w:footnoteRef/>
      </w:r>
      <w:r>
        <w:t xml:space="preserve"> 42 C.F.R. </w:t>
      </w:r>
      <w:r w:rsidRPr="00DC2587">
        <w:rPr>
          <w:rFonts w:ascii="Calibri" w:hAnsi="Calibri" w:cs="Calibri"/>
        </w:rPr>
        <w:t>§</w:t>
      </w:r>
      <w:r>
        <w:t xml:space="preserve"> 493.37(b</w:t>
      </w:r>
      <w:proofErr w:type="gramStart"/>
      <w:r>
        <w:t>)(</w:t>
      </w:r>
      <w:proofErr w:type="gramEnd"/>
      <w:r>
        <w:t>2).</w:t>
      </w:r>
    </w:p>
  </w:footnote>
  <w:footnote w:id="14">
    <w:p w:rsidR="00277E45" w:rsidRPr="00277E45" w:rsidRDefault="00277E45">
      <w:pPr>
        <w:pStyle w:val="FootnoteText"/>
      </w:pPr>
      <w:r>
        <w:rPr>
          <w:rStyle w:val="FootnoteReference"/>
        </w:rPr>
        <w:footnoteRef/>
      </w:r>
      <w:r>
        <w:t xml:space="preserve"> CMS </w:t>
      </w:r>
      <w:r>
        <w:rPr>
          <w:i/>
        </w:rPr>
        <w:t>Questions and Answers for On-site Visits of CLIA Certificate of Waiver Laboratories</w:t>
      </w:r>
      <w:r>
        <w:t xml:space="preserve">, </w:t>
      </w:r>
      <w:r>
        <w:rPr>
          <w:i/>
        </w:rPr>
        <w:t>Available at</w:t>
      </w:r>
      <w:r>
        <w:t xml:space="preserve">: </w:t>
      </w:r>
      <w:hyperlink r:id="rId1" w:history="1">
        <w:r w:rsidRPr="00F16F70">
          <w:rPr>
            <w:rStyle w:val="Hyperlink"/>
          </w:rPr>
          <w:t>http://www.cms.gov/Regulations-and-Guidance/Legislation/CLIA/downloads/cliaback.pdf</w:t>
        </w:r>
      </w:hyperlink>
      <w:r>
        <w:t xml:space="preserve">, last visited 6/15/2012. </w:t>
      </w:r>
    </w:p>
  </w:footnote>
  <w:footnote w:id="15">
    <w:p w:rsidR="00277E45" w:rsidRPr="00DB61D5" w:rsidRDefault="00277E45">
      <w:pPr>
        <w:pStyle w:val="FootnoteText"/>
      </w:pPr>
      <w:r>
        <w:rPr>
          <w:rStyle w:val="FootnoteReference"/>
        </w:rPr>
        <w:footnoteRef/>
      </w:r>
      <w:r>
        <w:t xml:space="preserve"> </w:t>
      </w:r>
      <w:r w:rsidR="00DB61D5">
        <w:rPr>
          <w:i/>
        </w:rPr>
        <w:t>Id</w:t>
      </w:r>
      <w:r w:rsidR="00DB61D5">
        <w:t>.</w:t>
      </w:r>
    </w:p>
  </w:footnote>
  <w:footnote w:id="16">
    <w:p w:rsidR="00DB61D5" w:rsidRPr="00DB61D5" w:rsidRDefault="00DB61D5">
      <w:pPr>
        <w:pStyle w:val="FootnoteText"/>
      </w:pPr>
      <w:r>
        <w:rPr>
          <w:rStyle w:val="FootnoteReference"/>
        </w:rPr>
        <w:footnoteRef/>
      </w:r>
      <w:r>
        <w:t xml:space="preserve"> </w:t>
      </w:r>
      <w:r>
        <w:rPr>
          <w:i/>
        </w:rPr>
        <w:t>Id</w:t>
      </w:r>
    </w:p>
  </w:footnote>
  <w:footnote w:id="17">
    <w:p w:rsidR="00DB61D5" w:rsidRPr="00DB61D5" w:rsidRDefault="00DB61D5">
      <w:pPr>
        <w:pStyle w:val="FootnoteText"/>
      </w:pPr>
      <w:r>
        <w:rPr>
          <w:rStyle w:val="FootnoteReference"/>
        </w:rPr>
        <w:footnoteRef/>
      </w:r>
      <w:r>
        <w:t xml:space="preserve"> </w:t>
      </w:r>
      <w:r>
        <w:rPr>
          <w:i/>
        </w:rPr>
        <w:t>Id</w:t>
      </w:r>
      <w:r>
        <w:t>.</w:t>
      </w:r>
    </w:p>
  </w:footnote>
  <w:footnote w:id="18">
    <w:p w:rsidR="00DB61D5" w:rsidRDefault="00DB61D5">
      <w:pPr>
        <w:pStyle w:val="FootnoteText"/>
      </w:pPr>
      <w:r>
        <w:rPr>
          <w:rStyle w:val="FootnoteReference"/>
        </w:rPr>
        <w:footnoteRef/>
      </w:r>
      <w:r>
        <w:t xml:space="preserve"> WAC 246-338-028.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29C7902"/>
    <w:lvl w:ilvl="0">
      <w:start w:val="1"/>
      <w:numFmt w:val="bullet"/>
      <w:lvlText w:val=""/>
      <w:lvlJc w:val="left"/>
      <w:pPr>
        <w:tabs>
          <w:tab w:val="num" w:pos="720"/>
        </w:tabs>
        <w:ind w:left="720" w:hanging="360"/>
      </w:pPr>
      <w:rPr>
        <w:rFonts w:ascii="Symbol" w:hAnsi="Symbol" w:hint="default"/>
      </w:rPr>
    </w:lvl>
  </w:abstractNum>
  <w:abstractNum w:abstractNumId="1">
    <w:nsid w:val="26A417C1"/>
    <w:multiLevelType w:val="hybridMultilevel"/>
    <w:tmpl w:val="2A788200"/>
    <w:lvl w:ilvl="0" w:tplc="04090001">
      <w:start w:val="1"/>
      <w:numFmt w:val="bullet"/>
      <w:lvlText w:val=""/>
      <w:lvlJc w:val="left"/>
      <w:pPr>
        <w:tabs>
          <w:tab w:val="num" w:pos="720"/>
        </w:tabs>
        <w:ind w:left="720" w:hanging="360"/>
      </w:pPr>
      <w:rPr>
        <w:rFonts w:ascii="Symbol" w:hAnsi="Symbol" w:hint="default"/>
      </w:rPr>
    </w:lvl>
    <w:lvl w:ilvl="1" w:tplc="B35C6A6E">
      <w:start w:val="1"/>
      <w:numFmt w:val="bullet"/>
      <w:pStyle w:val="ListBullet2"/>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8C20F1"/>
    <w:multiLevelType w:val="hybridMultilevel"/>
    <w:tmpl w:val="E372419E"/>
    <w:lvl w:ilvl="0" w:tplc="988A94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8C224E"/>
    <w:rsid w:val="00086452"/>
    <w:rsid w:val="000D4519"/>
    <w:rsid w:val="00167FD8"/>
    <w:rsid w:val="002573E6"/>
    <w:rsid w:val="00277E45"/>
    <w:rsid w:val="002F3A57"/>
    <w:rsid w:val="00487F09"/>
    <w:rsid w:val="004C089F"/>
    <w:rsid w:val="006D577A"/>
    <w:rsid w:val="00751593"/>
    <w:rsid w:val="007768EE"/>
    <w:rsid w:val="007D550E"/>
    <w:rsid w:val="008C224E"/>
    <w:rsid w:val="00A45BA2"/>
    <w:rsid w:val="00AE4272"/>
    <w:rsid w:val="00DB61D5"/>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24E"/>
    <w:pPr>
      <w:spacing w:after="0" w:line="240" w:lineRule="auto"/>
      <w:jc w:val="both"/>
    </w:pPr>
    <w:rPr>
      <w:rFonts w:eastAsia="Times New Roman"/>
    </w:rPr>
  </w:style>
  <w:style w:type="paragraph" w:styleId="Heading1">
    <w:name w:val="heading 1"/>
    <w:basedOn w:val="Normal"/>
    <w:next w:val="Normal"/>
    <w:link w:val="Heading1Char"/>
    <w:qFormat/>
    <w:rsid w:val="008C224E"/>
    <w:pPr>
      <w:keepNext/>
      <w:keepLines/>
      <w:widowControl w:val="0"/>
      <w:jc w:val="center"/>
      <w:outlineLvl w:val="0"/>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224E"/>
    <w:rPr>
      <w:rFonts w:eastAsia="Times New Roman"/>
      <w:b/>
      <w:kern w:val="28"/>
    </w:rPr>
  </w:style>
  <w:style w:type="paragraph" w:styleId="ListBullet2">
    <w:name w:val="List Bullet 2"/>
    <w:basedOn w:val="Normal"/>
    <w:next w:val="Normal"/>
    <w:autoRedefine/>
    <w:semiHidden/>
    <w:rsid w:val="007768EE"/>
    <w:pPr>
      <w:numPr>
        <w:ilvl w:val="1"/>
        <w:numId w:val="2"/>
      </w:numPr>
      <w:tabs>
        <w:tab w:val="clear" w:pos="1440"/>
        <w:tab w:val="left" w:pos="1800"/>
      </w:tabs>
      <w:ind w:left="1080"/>
    </w:pPr>
  </w:style>
  <w:style w:type="paragraph" w:styleId="FootnoteText">
    <w:name w:val="footnote text"/>
    <w:basedOn w:val="Normal"/>
    <w:link w:val="FootnoteTextChar"/>
    <w:uiPriority w:val="99"/>
    <w:semiHidden/>
    <w:unhideWhenUsed/>
    <w:rsid w:val="00487F09"/>
    <w:rPr>
      <w:sz w:val="20"/>
    </w:rPr>
  </w:style>
  <w:style w:type="character" w:customStyle="1" w:styleId="FootnoteTextChar">
    <w:name w:val="Footnote Text Char"/>
    <w:basedOn w:val="DefaultParagraphFont"/>
    <w:link w:val="FootnoteText"/>
    <w:uiPriority w:val="99"/>
    <w:semiHidden/>
    <w:rsid w:val="00487F09"/>
    <w:rPr>
      <w:rFonts w:eastAsia="Times New Roman"/>
      <w:sz w:val="20"/>
    </w:rPr>
  </w:style>
  <w:style w:type="character" w:styleId="FootnoteReference">
    <w:name w:val="footnote reference"/>
    <w:basedOn w:val="DefaultParagraphFont"/>
    <w:uiPriority w:val="99"/>
    <w:semiHidden/>
    <w:unhideWhenUsed/>
    <w:rsid w:val="00487F09"/>
    <w:rPr>
      <w:vertAlign w:val="superscript"/>
    </w:rPr>
  </w:style>
  <w:style w:type="paragraph" w:styleId="ListParagraph">
    <w:name w:val="List Paragraph"/>
    <w:basedOn w:val="Normal"/>
    <w:uiPriority w:val="34"/>
    <w:qFormat/>
    <w:rsid w:val="006D577A"/>
    <w:pPr>
      <w:ind w:left="720"/>
      <w:contextualSpacing/>
    </w:pPr>
  </w:style>
  <w:style w:type="character" w:styleId="Hyperlink">
    <w:name w:val="Hyperlink"/>
    <w:basedOn w:val="DefaultParagraphFont"/>
    <w:uiPriority w:val="99"/>
    <w:unhideWhenUsed/>
    <w:rsid w:val="00277E45"/>
    <w:rPr>
      <w:color w:val="0000FF" w:themeColor="hyperlink"/>
      <w:u w:val="single"/>
    </w:rPr>
  </w:style>
  <w:style w:type="paragraph" w:styleId="BalloonText">
    <w:name w:val="Balloon Text"/>
    <w:basedOn w:val="Normal"/>
    <w:link w:val="BalloonTextChar"/>
    <w:uiPriority w:val="99"/>
    <w:semiHidden/>
    <w:unhideWhenUsed/>
    <w:rsid w:val="00A45BA2"/>
    <w:rPr>
      <w:rFonts w:ascii="Tahoma" w:hAnsi="Tahoma" w:cs="Tahoma"/>
      <w:sz w:val="16"/>
      <w:szCs w:val="16"/>
    </w:rPr>
  </w:style>
  <w:style w:type="character" w:customStyle="1" w:styleId="BalloonTextChar">
    <w:name w:val="Balloon Text Char"/>
    <w:basedOn w:val="DefaultParagraphFont"/>
    <w:link w:val="BalloonText"/>
    <w:uiPriority w:val="99"/>
    <w:semiHidden/>
    <w:rsid w:val="00A45BA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cms.gov/Regulations-and-Guidance/Legislation/CLIA/downloads/cliabac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E5133-4749-41ED-A1A2-73AA40894A04}"/>
</file>

<file path=customXml/itemProps2.xml><?xml version="1.0" encoding="utf-8"?>
<ds:datastoreItem xmlns:ds="http://schemas.openxmlformats.org/officeDocument/2006/customXml" ds:itemID="{28A7508F-575D-4AE3-9D3B-57432EFAC5D9}"/>
</file>

<file path=customXml/itemProps3.xml><?xml version="1.0" encoding="utf-8"?>
<ds:datastoreItem xmlns:ds="http://schemas.openxmlformats.org/officeDocument/2006/customXml" ds:itemID="{41E769EC-EE4C-47D8-BDAF-EDA925F5F6B7}"/>
</file>

<file path=docProps/app.xml><?xml version="1.0" encoding="utf-8"?>
<Properties xmlns="http://schemas.openxmlformats.org/officeDocument/2006/extended-properties" xmlns:vt="http://schemas.openxmlformats.org/officeDocument/2006/docPropsVTypes">
  <Template>Normal.dotm</Template>
  <TotalTime>24</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2012-12-04T23:23:00Z</dcterms:created>
  <dcterms:modified xsi:type="dcterms:W3CDTF">2012-12-04T23:47:00Z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