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EC1" w:rsidRDefault="00092EC1" w:rsidP="00092EC1">
      <w:pPr>
        <w:pStyle w:val="Heading1"/>
      </w:pPr>
      <w:bookmarkStart w:id="0" w:name="_Toc161565710"/>
      <w:r>
        <w:t>PESTICIDE POISONING</w:t>
      </w:r>
      <w:bookmarkEnd w:id="0"/>
    </w:p>
    <w:p w:rsidR="00092EC1" w:rsidRDefault="00092EC1" w:rsidP="00092EC1">
      <w:pPr>
        <w:keepNext/>
        <w:keepLines/>
        <w:widowControl w:val="0"/>
      </w:pPr>
    </w:p>
    <w:p w:rsidR="00092EC1" w:rsidRDefault="00092EC1" w:rsidP="00092EC1">
      <w:pPr>
        <w:keepNext/>
        <w:keepLines/>
        <w:widowControl w:val="0"/>
      </w:pPr>
    </w:p>
    <w:p w:rsidR="00092EC1" w:rsidRDefault="00092EC1" w:rsidP="00092EC1">
      <w:pPr>
        <w:pStyle w:val="Heading2"/>
      </w:pPr>
      <w:r>
        <w:t>Must physicians report suspected or confirmed cases of pesticide poisoning?</w:t>
      </w:r>
    </w:p>
    <w:p w:rsidR="00092EC1" w:rsidRDefault="00092EC1" w:rsidP="00092EC1">
      <w:pPr>
        <w:keepNext/>
        <w:keepLines/>
        <w:widowControl w:val="0"/>
        <w:tabs>
          <w:tab w:val="left" w:pos="-1440"/>
          <w:tab w:val="left" w:pos="-720"/>
        </w:tabs>
        <w:suppressAutoHyphens/>
      </w:pPr>
    </w:p>
    <w:p w:rsidR="00092EC1" w:rsidRDefault="00092EC1" w:rsidP="00092EC1">
      <w:pPr>
        <w:tabs>
          <w:tab w:val="left" w:pos="-1440"/>
          <w:tab w:val="left" w:pos="-720"/>
        </w:tabs>
        <w:suppressAutoHyphens/>
      </w:pPr>
      <w:r>
        <w:tab/>
        <w:t>Yes.  Cases or suspected cases of pesticide poisoning are notifiable conditions which physicians must report to the state Department of Health.</w:t>
      </w:r>
      <w:r w:rsidR="00944136">
        <w:rPr>
          <w:rStyle w:val="FootnoteReference"/>
        </w:rPr>
        <w:footnoteReference w:id="1"/>
      </w:r>
      <w:r>
        <w:t xml:space="preserve">  </w:t>
      </w:r>
      <w:r>
        <w:rPr>
          <w:u w:val="single"/>
        </w:rPr>
        <w:t>See</w:t>
      </w:r>
      <w:r>
        <w:t xml:space="preserve"> </w:t>
      </w:r>
      <w:r>
        <w:rPr>
          <w:b/>
        </w:rPr>
        <w:t>NOTIFIABLE CONDITIONS</w:t>
      </w:r>
      <w:r>
        <w:t>.</w:t>
      </w:r>
    </w:p>
    <w:p w:rsidR="00944136" w:rsidRDefault="00944136" w:rsidP="00092EC1">
      <w:pPr>
        <w:tabs>
          <w:tab w:val="left" w:pos="-1440"/>
          <w:tab w:val="left" w:pos="-720"/>
        </w:tabs>
        <w:suppressAutoHyphens/>
      </w:pPr>
    </w:p>
    <w:p w:rsidR="00944136" w:rsidRDefault="00944136" w:rsidP="00092EC1">
      <w:pPr>
        <w:tabs>
          <w:tab w:val="left" w:pos="-1440"/>
          <w:tab w:val="left" w:pos="-720"/>
        </w:tabs>
        <w:suppressAutoHyphens/>
      </w:pPr>
      <w:r>
        <w:rPr>
          <w:b/>
        </w:rPr>
        <w:t>How is pesticide poisoning defined?</w:t>
      </w:r>
    </w:p>
    <w:p w:rsidR="00944136" w:rsidRDefault="00944136" w:rsidP="00092EC1">
      <w:pPr>
        <w:tabs>
          <w:tab w:val="left" w:pos="-1440"/>
          <w:tab w:val="left" w:pos="-720"/>
        </w:tabs>
        <w:suppressAutoHyphens/>
      </w:pPr>
    </w:p>
    <w:p w:rsidR="00944136" w:rsidRPr="00944136" w:rsidRDefault="00944136" w:rsidP="00092EC1">
      <w:pPr>
        <w:tabs>
          <w:tab w:val="left" w:pos="-1440"/>
          <w:tab w:val="left" w:pos="-720"/>
        </w:tabs>
        <w:suppressAutoHyphens/>
      </w:pPr>
      <w:r>
        <w:tab/>
        <w:t>Pesticide poisoning means the any disturbance of function, structural damage, or illness in a human which is the result of inhalation, absorption, ingestion of, or contact with any pesticide.</w:t>
      </w:r>
      <w:r>
        <w:rPr>
          <w:rStyle w:val="FootnoteReference"/>
        </w:rPr>
        <w:footnoteReference w:id="2"/>
      </w:r>
    </w:p>
    <w:p w:rsidR="00092EC1" w:rsidRDefault="00092EC1" w:rsidP="00092EC1">
      <w:pPr>
        <w:tabs>
          <w:tab w:val="left" w:pos="-1440"/>
          <w:tab w:val="left" w:pos="-720"/>
        </w:tabs>
        <w:suppressAutoHyphens/>
      </w:pPr>
    </w:p>
    <w:p w:rsidR="00092EC1" w:rsidRDefault="00092EC1" w:rsidP="00092EC1">
      <w:pPr>
        <w:pStyle w:val="Heading2"/>
      </w:pPr>
      <w:r>
        <w:t xml:space="preserve">When must pesticide poisoning be reported? </w:t>
      </w:r>
    </w:p>
    <w:p w:rsidR="00092EC1" w:rsidRDefault="00092EC1" w:rsidP="00092EC1">
      <w:pPr>
        <w:keepNext/>
        <w:keepLines/>
        <w:widowControl w:val="0"/>
      </w:pPr>
    </w:p>
    <w:p w:rsidR="00092EC1" w:rsidRDefault="00092EC1" w:rsidP="00092EC1">
      <w:r>
        <w:tab/>
        <w:t>Hospitalized, fatal, or cluster cases of pesticide poisoning must be reported immediately to the state Department of Health.  All other confirmed or suspected pesticide poisoning cases must be reported within three working days of diagnosis to the Department of Health.</w:t>
      </w:r>
      <w:r w:rsidR="00944136">
        <w:rPr>
          <w:rStyle w:val="FootnoteReference"/>
        </w:rPr>
        <w:footnoteReference w:id="3"/>
      </w:r>
      <w:r>
        <w:t xml:space="preserve">  </w:t>
      </w:r>
      <w:r>
        <w:rPr>
          <w:u w:val="single"/>
        </w:rPr>
        <w:t>See</w:t>
      </w:r>
      <w:r>
        <w:t xml:space="preserve"> </w:t>
      </w:r>
      <w:r>
        <w:rPr>
          <w:b/>
        </w:rPr>
        <w:t>NOTIFIABLE CONDITIONS</w:t>
      </w:r>
      <w:r>
        <w:t>.</w:t>
      </w:r>
    </w:p>
    <w:p w:rsidR="00092EC1" w:rsidRDefault="00092EC1" w:rsidP="00092EC1"/>
    <w:p w:rsidR="00092EC1" w:rsidRDefault="00092EC1" w:rsidP="00092EC1">
      <w:pPr>
        <w:pStyle w:val="Heading2"/>
      </w:pPr>
      <w:r>
        <w:t>Are there penalties for failing to comply with the pesticide poisoning reporting requirements?</w:t>
      </w:r>
    </w:p>
    <w:p w:rsidR="00092EC1" w:rsidRDefault="00092EC1" w:rsidP="00092EC1">
      <w:pPr>
        <w:keepNext/>
        <w:keepLines/>
        <w:widowControl w:val="0"/>
        <w:tabs>
          <w:tab w:val="left" w:pos="-1440"/>
          <w:tab w:val="left" w:pos="-720"/>
        </w:tabs>
        <w:suppressAutoHyphens/>
      </w:pPr>
    </w:p>
    <w:p w:rsidR="002F3A57" w:rsidRDefault="00092EC1" w:rsidP="00092EC1">
      <w:r>
        <w:tab/>
        <w:t>Yes.  Failure to report cases or suspected cases of pesticide poisoning to the Department of Health may subject the physician to disciplinary action.</w:t>
      </w:r>
      <w:r w:rsidR="00944136">
        <w:rPr>
          <w:rStyle w:val="FootnoteReference"/>
        </w:rPr>
        <w:footnoteReference w:id="4"/>
      </w:r>
      <w:r>
        <w:t xml:space="preserve">  No civil liability, however, may result from failure to file a report or for filing a report.</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EC1" w:rsidRDefault="00092EC1" w:rsidP="00092EC1">
      <w:r>
        <w:separator/>
      </w:r>
    </w:p>
  </w:endnote>
  <w:endnote w:type="continuationSeparator" w:id="0">
    <w:p w:rsidR="00092EC1" w:rsidRDefault="00092EC1" w:rsidP="00092E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EC1" w:rsidRDefault="00092EC1" w:rsidP="00092EC1">
      <w:r>
        <w:separator/>
      </w:r>
    </w:p>
  </w:footnote>
  <w:footnote w:type="continuationSeparator" w:id="0">
    <w:p w:rsidR="00092EC1" w:rsidRDefault="00092EC1" w:rsidP="00092EC1">
      <w:r>
        <w:continuationSeparator/>
      </w:r>
    </w:p>
  </w:footnote>
  <w:footnote w:id="1">
    <w:p w:rsidR="00944136" w:rsidRDefault="00944136">
      <w:pPr>
        <w:pStyle w:val="FootnoteText"/>
      </w:pPr>
      <w:r>
        <w:rPr>
          <w:rStyle w:val="FootnoteReference"/>
        </w:rPr>
        <w:footnoteRef/>
      </w:r>
      <w:r>
        <w:t xml:space="preserve"> </w:t>
      </w:r>
      <w:proofErr w:type="gramStart"/>
      <w:r>
        <w:t>WAC 246-101-101.</w:t>
      </w:r>
      <w:proofErr w:type="gramEnd"/>
    </w:p>
  </w:footnote>
  <w:footnote w:id="2">
    <w:p w:rsidR="00944136" w:rsidRDefault="00944136">
      <w:pPr>
        <w:pStyle w:val="FootnoteText"/>
      </w:pPr>
      <w:r>
        <w:rPr>
          <w:rStyle w:val="FootnoteReference"/>
        </w:rPr>
        <w:footnoteRef/>
      </w:r>
      <w:r>
        <w:t xml:space="preserve"> </w:t>
      </w:r>
      <w:proofErr w:type="gramStart"/>
      <w:r>
        <w:t>WAC 246-101-010(35).</w:t>
      </w:r>
      <w:proofErr w:type="gramEnd"/>
    </w:p>
  </w:footnote>
  <w:footnote w:id="3">
    <w:p w:rsidR="00944136" w:rsidRDefault="00944136">
      <w:pPr>
        <w:pStyle w:val="FootnoteText"/>
      </w:pPr>
      <w:r>
        <w:rPr>
          <w:rStyle w:val="FootnoteReference"/>
        </w:rPr>
        <w:footnoteRef/>
      </w:r>
      <w:r>
        <w:t xml:space="preserve"> </w:t>
      </w:r>
      <w:proofErr w:type="gramStart"/>
      <w:r>
        <w:t>WAC 246-101-101.</w:t>
      </w:r>
      <w:proofErr w:type="gramEnd"/>
    </w:p>
  </w:footnote>
  <w:footnote w:id="4">
    <w:p w:rsidR="00944136" w:rsidRDefault="00944136">
      <w:pPr>
        <w:pStyle w:val="FootnoteText"/>
      </w:pPr>
      <w:r>
        <w:rPr>
          <w:rStyle w:val="FootnoteReference"/>
        </w:rPr>
        <w:footnoteRef/>
      </w:r>
      <w:r>
        <w:t xml:space="preserve"> </w:t>
      </w:r>
      <w:proofErr w:type="gramStart"/>
      <w:r>
        <w:t>RCW 70.104.055(5).</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092EC1"/>
    <w:rsid w:val="00092EC1"/>
    <w:rsid w:val="000D4519"/>
    <w:rsid w:val="000F766B"/>
    <w:rsid w:val="001E6F85"/>
    <w:rsid w:val="002573E6"/>
    <w:rsid w:val="002F3A57"/>
    <w:rsid w:val="00751593"/>
    <w:rsid w:val="008D41CD"/>
    <w:rsid w:val="00944136"/>
    <w:rsid w:val="00BA6527"/>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EC1"/>
    <w:pPr>
      <w:spacing w:after="0" w:line="240" w:lineRule="auto"/>
      <w:jc w:val="both"/>
    </w:pPr>
    <w:rPr>
      <w:rFonts w:eastAsia="Times New Roman"/>
    </w:rPr>
  </w:style>
  <w:style w:type="paragraph" w:styleId="Heading1">
    <w:name w:val="heading 1"/>
    <w:basedOn w:val="Normal"/>
    <w:next w:val="Normal"/>
    <w:link w:val="Heading1Char"/>
    <w:qFormat/>
    <w:rsid w:val="00092EC1"/>
    <w:pPr>
      <w:keepNext/>
      <w:keepLines/>
      <w:widowControl w:val="0"/>
      <w:jc w:val="center"/>
      <w:outlineLvl w:val="0"/>
    </w:pPr>
    <w:rPr>
      <w:b/>
      <w:kern w:val="28"/>
    </w:rPr>
  </w:style>
  <w:style w:type="paragraph" w:styleId="Heading2">
    <w:name w:val="heading 2"/>
    <w:basedOn w:val="Normal"/>
    <w:next w:val="Normal"/>
    <w:link w:val="Heading2Char"/>
    <w:qFormat/>
    <w:rsid w:val="00092EC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2EC1"/>
    <w:rPr>
      <w:rFonts w:eastAsia="Times New Roman"/>
      <w:b/>
      <w:kern w:val="28"/>
    </w:rPr>
  </w:style>
  <w:style w:type="character" w:customStyle="1" w:styleId="Heading2Char">
    <w:name w:val="Heading 2 Char"/>
    <w:basedOn w:val="DefaultParagraphFont"/>
    <w:link w:val="Heading2"/>
    <w:rsid w:val="00092EC1"/>
    <w:rPr>
      <w:rFonts w:eastAsia="Times New Roman"/>
      <w:b/>
    </w:rPr>
  </w:style>
  <w:style w:type="paragraph" w:styleId="FootnoteText">
    <w:name w:val="footnote text"/>
    <w:basedOn w:val="Normal"/>
    <w:link w:val="FootnoteTextChar"/>
    <w:uiPriority w:val="99"/>
    <w:semiHidden/>
    <w:unhideWhenUsed/>
    <w:rsid w:val="00092EC1"/>
    <w:rPr>
      <w:sz w:val="20"/>
    </w:rPr>
  </w:style>
  <w:style w:type="character" w:customStyle="1" w:styleId="FootnoteTextChar">
    <w:name w:val="Footnote Text Char"/>
    <w:basedOn w:val="DefaultParagraphFont"/>
    <w:link w:val="FootnoteText"/>
    <w:uiPriority w:val="99"/>
    <w:semiHidden/>
    <w:rsid w:val="00092EC1"/>
    <w:rPr>
      <w:rFonts w:eastAsia="Times New Roman"/>
      <w:sz w:val="20"/>
    </w:rPr>
  </w:style>
  <w:style w:type="character" w:styleId="FootnoteReference">
    <w:name w:val="footnote reference"/>
    <w:basedOn w:val="DefaultParagraphFont"/>
    <w:uiPriority w:val="99"/>
    <w:semiHidden/>
    <w:unhideWhenUsed/>
    <w:rsid w:val="00092EC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785DFE-6F3D-4953-9C24-EAAC5F415355}"/>
</file>

<file path=customXml/itemProps2.xml><?xml version="1.0" encoding="utf-8"?>
<ds:datastoreItem xmlns:ds="http://schemas.openxmlformats.org/officeDocument/2006/customXml" ds:itemID="{14E2F8DC-1E2C-42D2-BED2-B46838A8CB2D}"/>
</file>

<file path=customXml/itemProps3.xml><?xml version="1.0" encoding="utf-8"?>
<ds:datastoreItem xmlns:ds="http://schemas.openxmlformats.org/officeDocument/2006/customXml" ds:itemID="{D1F2D534-6692-4FC4-B86F-B2816FBDA416}"/>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2012-12-05T00:54:00Z</dcterms:created>
  <dcterms:modified xsi:type="dcterms:W3CDTF">2012-12-05T00:55:00Z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