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7C" w:rsidRDefault="005F317C" w:rsidP="005F317C">
      <w:pPr>
        <w:pStyle w:val="Heading1"/>
      </w:pPr>
      <w:bookmarkStart w:id="0" w:name="_Toc161565713"/>
      <w:r>
        <w:t>PHYSICIAN-PATIENT RELATIONSHIP</w:t>
      </w:r>
      <w:bookmarkEnd w:id="0"/>
    </w:p>
    <w:p w:rsidR="005F317C" w:rsidRDefault="005F317C" w:rsidP="005F317C">
      <w:pPr>
        <w:keepNext/>
        <w:keepLines/>
        <w:widowControl w:val="0"/>
      </w:pPr>
    </w:p>
    <w:p w:rsidR="005F317C" w:rsidRDefault="005F317C" w:rsidP="005F317C">
      <w:pPr>
        <w:keepNext/>
        <w:keepLines/>
        <w:widowControl w:val="0"/>
      </w:pPr>
    </w:p>
    <w:p w:rsidR="005F317C" w:rsidRDefault="005F317C" w:rsidP="005F317C">
      <w:pPr>
        <w:pStyle w:val="Heading2"/>
      </w:pPr>
      <w:r>
        <w:t>When is the physician-patient relationship created?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Generally, the physician-patient relationship is created when a patient consults a physician for the purpose of health care, including prevention, treatment, management of illness, and preservation of mental and physical well-being.  It is not necessary for the creation of the relationship that the physician actually treat the patient.</w:t>
      </w:r>
      <w:r w:rsidR="002C682B">
        <w:rPr>
          <w:rStyle w:val="FootnoteReference"/>
        </w:rPr>
        <w:footnoteReference w:id="1"/>
      </w:r>
      <w:r>
        <w:t xml:space="preserve">  Whether a physician-patient relationship is created depends on whether the patient believes that the patient’s contact with the physician was for the purposes of treatment.</w:t>
      </w:r>
      <w:r w:rsidR="007C684C">
        <w:t xml:space="preserve">  Regarding a child, parents do not have a physician-patient relationship themselves with a physician treating their child, but have the right to act as in a representative capacity for their child with regard to informed consent.</w:t>
      </w:r>
      <w:r w:rsidR="007C684C">
        <w:rPr>
          <w:rStyle w:val="FootnoteReference"/>
        </w:rPr>
        <w:footnoteReference w:id="2"/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Usually, no relationship is formed when the physician is merely evaluating the patient at the request of a third party.  However, workplace examinations of employees may, depending on the circumstances, give rise to a physician-patient relationship.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Is the physician-patient relationship created when a patient calls for an appointment?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If confidential information is given or medical advice is conveyed over the phone, the physician-patient relationship may have been created.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Does the initial appointment create the relationship?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Generally, yes.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29353C" w:rsidRDefault="0029353C" w:rsidP="005F317C">
      <w:pPr>
        <w:pStyle w:val="Heading2"/>
        <w:rPr>
          <w:b w:val="0"/>
        </w:rPr>
      </w:pPr>
      <w:r>
        <w:t>What can patients expect from the physician-patient relationship?</w:t>
      </w:r>
    </w:p>
    <w:p w:rsidR="00000000" w:rsidRDefault="002810C3"/>
    <w:p w:rsidR="00000000" w:rsidRDefault="0029353C">
      <w:r>
        <w:tab/>
        <w:t xml:space="preserve">The American Medical Association encourages physicians to foster certain rights for patients in order to </w:t>
      </w:r>
      <w:r w:rsidR="00641B63">
        <w:t>maximize the effectiveness of medical treatment.  These rights include the patients’ right to:</w:t>
      </w:r>
      <w:r w:rsidR="00641B63">
        <w:rPr>
          <w:rStyle w:val="FootnoteReference"/>
        </w:rPr>
        <w:footnoteReference w:id="3"/>
      </w:r>
    </w:p>
    <w:p w:rsidR="00000000" w:rsidRDefault="002810C3"/>
    <w:p w:rsidR="00000000" w:rsidRDefault="00641B63">
      <w:pPr>
        <w:pStyle w:val="ListParagraph"/>
        <w:numPr>
          <w:ilvl w:val="0"/>
          <w:numId w:val="2"/>
        </w:numPr>
      </w:pPr>
      <w:r>
        <w:t>Receive information from the physician and to discuss the risks and benefits, and the costs, of appropriate treatment alternatives;</w:t>
      </w:r>
    </w:p>
    <w:p w:rsidR="002810C3" w:rsidRDefault="002810C3" w:rsidP="002810C3">
      <w:pPr>
        <w:pStyle w:val="ListParagraph"/>
        <w:ind w:left="784"/>
      </w:pPr>
    </w:p>
    <w:p w:rsidR="00000000" w:rsidRDefault="00641B63">
      <w:pPr>
        <w:pStyle w:val="ListParagraph"/>
        <w:numPr>
          <w:ilvl w:val="0"/>
          <w:numId w:val="2"/>
        </w:numPr>
      </w:pPr>
      <w:r>
        <w:t>Make decisions regarding health care that is recommended by the physician, including the right to refuse care;</w:t>
      </w:r>
    </w:p>
    <w:p w:rsidR="002810C3" w:rsidRDefault="002810C3" w:rsidP="002810C3">
      <w:pPr>
        <w:pStyle w:val="ListParagraph"/>
        <w:ind w:left="784"/>
      </w:pPr>
    </w:p>
    <w:p w:rsidR="00000000" w:rsidRDefault="00641B63">
      <w:pPr>
        <w:pStyle w:val="ListParagraph"/>
        <w:numPr>
          <w:ilvl w:val="0"/>
          <w:numId w:val="2"/>
        </w:numPr>
      </w:pPr>
      <w:r>
        <w:t>Courtesy, respect, dignity, responsiveness, and timely attention to their needs;</w:t>
      </w:r>
    </w:p>
    <w:p w:rsidR="002810C3" w:rsidRDefault="002810C3" w:rsidP="002810C3">
      <w:pPr>
        <w:pStyle w:val="ListParagraph"/>
      </w:pPr>
    </w:p>
    <w:p w:rsidR="00000000" w:rsidRDefault="00641B63">
      <w:pPr>
        <w:pStyle w:val="ListParagraph"/>
        <w:numPr>
          <w:ilvl w:val="0"/>
          <w:numId w:val="2"/>
        </w:numPr>
      </w:pPr>
      <w:r>
        <w:t xml:space="preserve">Confidentiality;   </w:t>
      </w:r>
    </w:p>
    <w:p w:rsidR="002810C3" w:rsidRDefault="002810C3" w:rsidP="002810C3">
      <w:pPr>
        <w:pStyle w:val="ListParagraph"/>
        <w:ind w:left="784"/>
      </w:pPr>
    </w:p>
    <w:p w:rsidR="00000000" w:rsidRDefault="00641B63">
      <w:pPr>
        <w:pStyle w:val="ListParagraph"/>
        <w:numPr>
          <w:ilvl w:val="0"/>
          <w:numId w:val="2"/>
        </w:numPr>
      </w:pPr>
      <w:r>
        <w:t>Continuity and coordination of health care; and</w:t>
      </w:r>
    </w:p>
    <w:p w:rsidR="002810C3" w:rsidRDefault="002810C3" w:rsidP="002810C3">
      <w:pPr>
        <w:pStyle w:val="ListParagraph"/>
      </w:pPr>
    </w:p>
    <w:p w:rsidR="00000000" w:rsidRDefault="00641B63">
      <w:pPr>
        <w:pStyle w:val="ListParagraph"/>
        <w:numPr>
          <w:ilvl w:val="0"/>
          <w:numId w:val="2"/>
        </w:numPr>
      </w:pPr>
      <w:r>
        <w:t>Have adequate health care available.</w:t>
      </w:r>
    </w:p>
    <w:p w:rsidR="0029353C" w:rsidRDefault="0029353C" w:rsidP="005F317C">
      <w:pPr>
        <w:pStyle w:val="Heading2"/>
      </w:pPr>
    </w:p>
    <w:p w:rsidR="005F317C" w:rsidRDefault="005F317C" w:rsidP="005F317C">
      <w:pPr>
        <w:pStyle w:val="Heading2"/>
      </w:pPr>
      <w:r>
        <w:t>Must a physician render medical care to anyone requesting it?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</w:r>
      <w:proofErr w:type="gramStart"/>
      <w:r>
        <w:t>Generally, no.</w:t>
      </w:r>
      <w:proofErr w:type="gramEnd"/>
      <w:r>
        <w:t xml:space="preserve">  A managed care contract, however, may require a physician to treat any of the health plan’s members who select the physician.  Moreover, a physician is prohibited from refusing treatment on the basis of sex, race, national origin, religion, or disability.  </w:t>
      </w:r>
      <w:proofErr w:type="gramStart"/>
      <w:r>
        <w:rPr>
          <w:u w:val="single"/>
        </w:rPr>
        <w:t>See</w:t>
      </w:r>
      <w:r>
        <w:t xml:space="preserve"> </w:t>
      </w:r>
      <w:r>
        <w:rPr>
          <w:b/>
        </w:rPr>
        <w:t>DISCRIMINATION</w:t>
      </w:r>
      <w:r>
        <w:t xml:space="preserve"> and </w:t>
      </w:r>
      <w:r>
        <w:rPr>
          <w:b/>
        </w:rPr>
        <w:t>AMERICANS WITH DISABILITIES ACT</w:t>
      </w:r>
      <w:r>
        <w:t>.</w:t>
      </w:r>
      <w:proofErr w:type="gramEnd"/>
      <w:r>
        <w:t xml:space="preserve">  A physician also may not refuse to treat a patient because the patient has AIDS or is HIV positive.  </w:t>
      </w:r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 xml:space="preserve">A physician may refuse to withdraw or withhold life support services.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LIVING WILLS</w:t>
      </w:r>
      <w:r>
        <w:t xml:space="preserve">.  A physician may also refuse to perform an abortion.  </w:t>
      </w:r>
      <w:r>
        <w:rPr>
          <w:u w:val="single"/>
        </w:rPr>
        <w:t>See</w:t>
      </w:r>
      <w:r>
        <w:t xml:space="preserve"> </w:t>
      </w:r>
      <w:r>
        <w:rPr>
          <w:b/>
        </w:rPr>
        <w:t>ABORTION</w:t>
      </w:r>
      <w:r>
        <w:t>.</w:t>
      </w:r>
    </w:p>
    <w:p w:rsidR="002C682B" w:rsidRDefault="002C682B" w:rsidP="005F317C">
      <w:pPr>
        <w:pStyle w:val="Heading2"/>
      </w:pPr>
    </w:p>
    <w:p w:rsidR="005F317C" w:rsidRDefault="005F317C" w:rsidP="005F317C">
      <w:pPr>
        <w:pStyle w:val="Heading2"/>
      </w:pPr>
      <w:r>
        <w:t>How does a physician terminate a physician-patient relationship?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A physician may terminate a relationship with a patient by written notice to the patient which provides adequate time and opportunity for the patient to obtain care from another physician.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What steps should a physician take to properly terminate a patient relationship?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Generally, a physician should take at least the following steps to properly terminate a physician-patient relationship:</w:t>
      </w:r>
      <w:r w:rsidR="0029353C">
        <w:rPr>
          <w:rStyle w:val="FootnoteReference"/>
        </w:rPr>
        <w:footnoteReference w:id="4"/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Make sure the patient is stabilized.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 xml:space="preserve">Assuming the patient is stabilized, </w:t>
      </w:r>
      <w:proofErr w:type="gramStart"/>
      <w:r>
        <w:t>inform</w:t>
      </w:r>
      <w:proofErr w:type="gramEnd"/>
      <w:r>
        <w:t xml:space="preserve"> the patient verbally and in writing of what follow-up care, if any, is needed.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Inform the patient in writing, by letter sent certified mail return receipt requested, of the physician’s intent to terminate the physician-patient relationship and of the specific date that the physician intends to stop rendering care.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Make sure the date specified in the letter gives the patient adequate time to find another suitable physician to provide care.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If possible, provide the patient with a list of physicians qualified to treat the patient’s condition to contact for alternative referrals.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Advise the patient that the physician will remain available to render care until the date specified in the letter.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lastRenderedPageBreak/>
        <w:t>Inform the patient that copies of the patient’s medical record will be made available either to the patient or to the patient’s new physician upon request and with a valid authorization.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>A physician’s failure to properly terminate the physician-patient relationship can result in allegations of abandonment.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Must a physician follow and treat a patient with a chronic illness?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F3A57" w:rsidRDefault="005F317C" w:rsidP="005F317C">
      <w:r>
        <w:tab/>
        <w:t>Generally, once the physician begins care, the obligation to provide treatment continues until the patient is stabilized and the physician-patient relationship is properly terminated.  It is advisable for a physician to formally terminate the relationship once a physician decides not to continue to seeing the patient.  Because questions as to whether to terminate a physician-patient relationship are often fact-specific, a physician is well-advised to consult an attorney.</w:t>
      </w:r>
    </w:p>
    <w:p w:rsidR="005F317C" w:rsidRDefault="005F317C" w:rsidP="005F317C"/>
    <w:p w:rsidR="00000000" w:rsidRDefault="002810C3"/>
    <w:sectPr w:rsidR="0000000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93E" w:rsidRDefault="005D793E" w:rsidP="002C682B">
      <w:r>
        <w:separator/>
      </w:r>
    </w:p>
  </w:endnote>
  <w:endnote w:type="continuationSeparator" w:id="0">
    <w:p w:rsidR="005D793E" w:rsidRDefault="005D793E" w:rsidP="002C6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93E" w:rsidRDefault="005D793E" w:rsidP="002C682B">
      <w:r>
        <w:separator/>
      </w:r>
    </w:p>
  </w:footnote>
  <w:footnote w:type="continuationSeparator" w:id="0">
    <w:p w:rsidR="005D793E" w:rsidRDefault="005D793E" w:rsidP="002C682B">
      <w:r>
        <w:continuationSeparator/>
      </w:r>
    </w:p>
  </w:footnote>
  <w:footnote w:id="1">
    <w:p w:rsidR="005D793E" w:rsidRPr="002C682B" w:rsidRDefault="005D79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i/>
        </w:rPr>
        <w:t>State v. Gibson</w:t>
      </w:r>
      <w:r>
        <w:t>, 3 WN.</w:t>
      </w:r>
      <w:proofErr w:type="gramEnd"/>
      <w:r>
        <w:t xml:space="preserve"> </w:t>
      </w:r>
      <w:proofErr w:type="gramStart"/>
      <w:r>
        <w:t>App. 596 (1970).</w:t>
      </w:r>
      <w:proofErr w:type="gramEnd"/>
    </w:p>
  </w:footnote>
  <w:footnote w:id="2">
    <w:p w:rsidR="005D793E" w:rsidRPr="007C684C" w:rsidRDefault="005D79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i/>
        </w:rPr>
        <w:t>Branom</w:t>
      </w:r>
      <w:proofErr w:type="spellEnd"/>
      <w:r>
        <w:rPr>
          <w:i/>
        </w:rPr>
        <w:t xml:space="preserve"> v. State</w:t>
      </w:r>
      <w:r>
        <w:t xml:space="preserve">, 94 </w:t>
      </w:r>
      <w:proofErr w:type="spellStart"/>
      <w:r>
        <w:t>Wn</w:t>
      </w:r>
      <w:proofErr w:type="spellEnd"/>
      <w:r>
        <w:t>. App. 694 (1999).</w:t>
      </w:r>
      <w:proofErr w:type="gramEnd"/>
    </w:p>
  </w:footnote>
  <w:footnote w:id="3">
    <w:p w:rsidR="005D793E" w:rsidRDefault="005D793E">
      <w:pPr>
        <w:pStyle w:val="FootnoteText"/>
      </w:pPr>
      <w:r>
        <w:rPr>
          <w:rStyle w:val="FootnoteReference"/>
        </w:rPr>
        <w:footnoteRef/>
      </w:r>
      <w:r>
        <w:t xml:space="preserve"> American Medical Association </w:t>
      </w:r>
      <w:r w:rsidR="004F0579" w:rsidRPr="004F0579">
        <w:t>Opinion 10.01</w:t>
      </w:r>
      <w:r>
        <w:t xml:space="preserve">, </w:t>
      </w:r>
      <w:r>
        <w:rPr>
          <w:i/>
        </w:rPr>
        <w:t>Fundamental Elements of the Patient-Physician Relationship</w:t>
      </w:r>
      <w:r>
        <w:t xml:space="preserve">, </w:t>
      </w:r>
      <w:r>
        <w:rPr>
          <w:i/>
        </w:rPr>
        <w:t>available at</w:t>
      </w:r>
      <w:r>
        <w:t xml:space="preserve">: </w:t>
      </w:r>
    </w:p>
    <w:p w:rsidR="005D793E" w:rsidRPr="00641B63" w:rsidRDefault="005D793E">
      <w:pPr>
        <w:pStyle w:val="FootnoteText"/>
      </w:pPr>
      <w:r>
        <w:t xml:space="preserve"> </w:t>
      </w:r>
      <w:hyperlink r:id="rId1" w:history="1">
        <w:r w:rsidRPr="003E48F0">
          <w:rPr>
            <w:rStyle w:val="Hyperlink"/>
          </w:rPr>
          <w:t>http://www.ama-assn.org/ama/pub/physician-resources/medical-ethics/code-medical-ethics/opinion1001.page</w:t>
        </w:r>
      </w:hyperlink>
      <w:r>
        <w:t xml:space="preserve">. </w:t>
      </w:r>
    </w:p>
  </w:footnote>
  <w:footnote w:id="4">
    <w:p w:rsidR="005D793E" w:rsidRPr="0029353C" w:rsidRDefault="005D79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See generally</w:t>
      </w:r>
      <w:r>
        <w:t xml:space="preserve">: American Medical Association: </w:t>
      </w:r>
      <w:r>
        <w:rPr>
          <w:i/>
        </w:rPr>
        <w:t>Ending the Patient-Physician Relationship</w:t>
      </w:r>
      <w:r>
        <w:t xml:space="preserve">, </w:t>
      </w:r>
      <w:r>
        <w:rPr>
          <w:i/>
        </w:rPr>
        <w:t>available at</w:t>
      </w:r>
      <w:r>
        <w:t xml:space="preserve">: </w:t>
      </w:r>
      <w:hyperlink r:id="rId2" w:history="1">
        <w:r w:rsidRPr="003E48F0">
          <w:rPr>
            <w:rStyle w:val="Hyperlink"/>
          </w:rPr>
          <w:t>http://www.ama-assn.org/ama/pub/physician-resources/legal-topics/patient-physician-relationship-topics/ending-patient-physician-relationship.page</w:t>
        </w:r>
      </w:hyperlink>
      <w:r>
        <w:t xml:space="preserve">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62ED"/>
    <w:multiLevelType w:val="hybridMultilevel"/>
    <w:tmpl w:val="21C04F00"/>
    <w:lvl w:ilvl="0" w:tplc="91D04C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B7ACF"/>
    <w:multiLevelType w:val="hybridMultilevel"/>
    <w:tmpl w:val="43BAA33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17C"/>
    <w:rsid w:val="000D4519"/>
    <w:rsid w:val="002573E6"/>
    <w:rsid w:val="002810C3"/>
    <w:rsid w:val="0029353C"/>
    <w:rsid w:val="002C682B"/>
    <w:rsid w:val="002F3A57"/>
    <w:rsid w:val="004F0579"/>
    <w:rsid w:val="00561FAA"/>
    <w:rsid w:val="005D793E"/>
    <w:rsid w:val="005F317C"/>
    <w:rsid w:val="00641B63"/>
    <w:rsid w:val="00751593"/>
    <w:rsid w:val="00776818"/>
    <w:rsid w:val="007C684C"/>
    <w:rsid w:val="009819DB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17C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5F317C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5F317C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17C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5F317C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5F317C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682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682B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682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935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B63"/>
    <w:pPr>
      <w:ind w:left="720"/>
      <w:contextualSpacing/>
    </w:pPr>
  </w:style>
  <w:style w:type="character" w:customStyle="1" w:styleId="term1">
    <w:name w:val="term1"/>
    <w:basedOn w:val="DefaultParagraphFont"/>
    <w:rsid w:val="007768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a-assn.org/ama/pub/physician-resources/legal-topics/patient-physician-relationship-topics/ending-patient-physician-relationship.page" TargetMode="External"/><Relationship Id="rId1" Type="http://schemas.openxmlformats.org/officeDocument/2006/relationships/hyperlink" Target="http://www.ama-assn.org/ama/pub/physician-resources/medical-ethics/code-medical-ethics/opinion1001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CBD40-59B1-4DF1-BAE8-4F464EBD2B04}"/>
</file>

<file path=customXml/itemProps2.xml><?xml version="1.0" encoding="utf-8"?>
<ds:datastoreItem xmlns:ds="http://schemas.openxmlformats.org/officeDocument/2006/customXml" ds:itemID="{2236166A-3F81-4649-AB56-26CF0F5F094F}"/>
</file>

<file path=customXml/itemProps3.xml><?xml version="1.0" encoding="utf-8"?>
<ds:datastoreItem xmlns:ds="http://schemas.openxmlformats.org/officeDocument/2006/customXml" ds:itemID="{2344B8B5-0E00-4426-83BE-24A77C742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2012-12-05T21:24:00Z</dcterms:created>
  <dcterms:modified xsi:type="dcterms:W3CDTF">2012-12-05T21:27:00Z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