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33D" w:rsidRDefault="00C0633D" w:rsidP="00C0633D">
      <w:pPr>
        <w:pStyle w:val="Heading1"/>
      </w:pPr>
      <w:bookmarkStart w:id="0" w:name="_Toc161565716"/>
      <w:r>
        <w:t>PROFESSIONAL COURTESY</w:t>
      </w:r>
      <w:bookmarkEnd w:id="0"/>
    </w:p>
    <w:p w:rsidR="00C0633D" w:rsidRDefault="00C0633D" w:rsidP="00C0633D">
      <w:pPr>
        <w:keepNext/>
        <w:keepLines/>
        <w:widowControl w:val="0"/>
      </w:pPr>
    </w:p>
    <w:p w:rsidR="00C0633D" w:rsidRDefault="00C0633D" w:rsidP="00C0633D">
      <w:pPr>
        <w:keepNext/>
        <w:keepLines/>
        <w:widowControl w:val="0"/>
      </w:pPr>
    </w:p>
    <w:p w:rsidR="00C0633D" w:rsidRDefault="00C0633D" w:rsidP="00C0633D">
      <w:pPr>
        <w:pStyle w:val="Heading2"/>
      </w:pPr>
      <w:r>
        <w:t>Is professional courtesy prohibited by law in Washington?</w:t>
      </w:r>
    </w:p>
    <w:p w:rsidR="00C0633D" w:rsidRDefault="00C0633D" w:rsidP="00C0633D">
      <w:pPr>
        <w:keepNext/>
        <w:keepLines/>
        <w:widowControl w:val="0"/>
        <w:tabs>
          <w:tab w:val="left" w:pos="-1440"/>
          <w:tab w:val="left" w:pos="-720"/>
        </w:tabs>
        <w:suppressAutoHyphens/>
      </w:pPr>
    </w:p>
    <w:p w:rsidR="00C0633D" w:rsidRDefault="00C0633D" w:rsidP="00C0633D">
      <w:pPr>
        <w:tabs>
          <w:tab w:val="left" w:pos="-1440"/>
          <w:tab w:val="left" w:pos="-720"/>
        </w:tabs>
        <w:suppressAutoHyphens/>
      </w:pPr>
      <w:r>
        <w:tab/>
        <w:t>No.  A physician may provide care free of charge or at reduced rates as a professional courtesy to other physicians and their families.</w:t>
      </w:r>
      <w:r w:rsidR="00783DDF">
        <w:t xml:space="preserve">  Offering professional courtesy is not an ethical requirement according to the American Medical Association.</w:t>
      </w:r>
      <w:r w:rsidR="00783DDF">
        <w:rPr>
          <w:rStyle w:val="FootnoteReference"/>
        </w:rPr>
        <w:footnoteReference w:id="1"/>
      </w:r>
    </w:p>
    <w:p w:rsidR="00C0633D" w:rsidRDefault="00C0633D" w:rsidP="00C0633D">
      <w:pPr>
        <w:tabs>
          <w:tab w:val="left" w:pos="-1440"/>
          <w:tab w:val="left" w:pos="-720"/>
        </w:tabs>
        <w:suppressAutoHyphens/>
      </w:pPr>
    </w:p>
    <w:p w:rsidR="00C0633D" w:rsidRDefault="00C0633D" w:rsidP="00C0633D">
      <w:pPr>
        <w:tabs>
          <w:tab w:val="left" w:pos="-1440"/>
          <w:tab w:val="left" w:pos="-720"/>
        </w:tabs>
        <w:suppressAutoHyphens/>
      </w:pPr>
      <w:r>
        <w:tab/>
        <w:t>A physician should be careful, however, about extending professional courtesy by forgiving coinsurance or copayments, as forgiveness of coinsurance or copayments may be forbidden by certain managed care contracts.  Moreover, routine waiver of Medicare deductibles or coinsurance is prohibited.</w:t>
      </w:r>
      <w:r w:rsidR="001836ED">
        <w:rPr>
          <w:rStyle w:val="FootnoteReference"/>
        </w:rPr>
        <w:footnoteReference w:id="2"/>
      </w:r>
      <w:r w:rsidR="00364418">
        <w:t xml:space="preserve">  The Office of the Inspector General of the Department of Health &amp; Human Services has stated that routine waivers of Medicare deductibles and copayments are unlawful because they result in:</w:t>
      </w:r>
      <w:r w:rsidR="00364418">
        <w:rPr>
          <w:rStyle w:val="FootnoteReference"/>
        </w:rPr>
        <w:footnoteReference w:id="3"/>
      </w:r>
    </w:p>
    <w:p w:rsidR="00364418" w:rsidRDefault="00364418" w:rsidP="00C0633D">
      <w:pPr>
        <w:tabs>
          <w:tab w:val="left" w:pos="-1440"/>
          <w:tab w:val="left" w:pos="-720"/>
        </w:tabs>
        <w:suppressAutoHyphens/>
      </w:pPr>
    </w:p>
    <w:p w:rsidR="00000000" w:rsidRDefault="00364418">
      <w:pPr>
        <w:pStyle w:val="ListParagraph"/>
        <w:numPr>
          <w:ilvl w:val="0"/>
          <w:numId w:val="1"/>
        </w:numPr>
        <w:tabs>
          <w:tab w:val="left" w:pos="-1440"/>
          <w:tab w:val="left" w:pos="-720"/>
        </w:tabs>
        <w:suppressAutoHyphens/>
      </w:pPr>
      <w:r>
        <w:t>False claims;</w:t>
      </w:r>
    </w:p>
    <w:p w:rsidR="00701A68" w:rsidRDefault="00701A68" w:rsidP="00701A68">
      <w:pPr>
        <w:pStyle w:val="ListParagraph"/>
        <w:tabs>
          <w:tab w:val="left" w:pos="-1440"/>
          <w:tab w:val="left" w:pos="-720"/>
        </w:tabs>
        <w:suppressAutoHyphens/>
      </w:pPr>
    </w:p>
    <w:p w:rsidR="00000000" w:rsidRDefault="00364418">
      <w:pPr>
        <w:pStyle w:val="ListParagraph"/>
        <w:numPr>
          <w:ilvl w:val="0"/>
          <w:numId w:val="1"/>
        </w:numPr>
        <w:tabs>
          <w:tab w:val="left" w:pos="-1440"/>
          <w:tab w:val="left" w:pos="-720"/>
        </w:tabs>
        <w:suppressAutoHyphens/>
      </w:pPr>
      <w:r>
        <w:t>Violations of the anti-kickback statute; and</w:t>
      </w:r>
    </w:p>
    <w:p w:rsidR="00701A68" w:rsidRDefault="00701A68" w:rsidP="00701A68">
      <w:pPr>
        <w:pStyle w:val="ListParagraph"/>
      </w:pPr>
    </w:p>
    <w:p w:rsidR="00000000" w:rsidRDefault="00364418">
      <w:pPr>
        <w:pStyle w:val="ListParagraph"/>
        <w:numPr>
          <w:ilvl w:val="0"/>
          <w:numId w:val="1"/>
        </w:numPr>
        <w:tabs>
          <w:tab w:val="left" w:pos="-1440"/>
          <w:tab w:val="left" w:pos="-720"/>
        </w:tabs>
        <w:suppressAutoHyphens/>
      </w:pPr>
      <w:r>
        <w:t>Excessive utilization of services paid for by Medicare.</w:t>
      </w:r>
    </w:p>
    <w:p w:rsidR="00C0633D" w:rsidRDefault="00C0633D" w:rsidP="00C0633D">
      <w:pPr>
        <w:tabs>
          <w:tab w:val="left" w:pos="-1440"/>
          <w:tab w:val="left" w:pos="-720"/>
        </w:tabs>
        <w:suppressAutoHyphens/>
      </w:pPr>
    </w:p>
    <w:p w:rsidR="00000000" w:rsidRDefault="00C0633D">
      <w:pPr>
        <w:ind w:left="720"/>
        <w:rPr>
          <w:b/>
        </w:rPr>
      </w:pPr>
      <w:r>
        <w:rPr>
          <w:u w:val="single"/>
        </w:rPr>
        <w:t>See</w:t>
      </w:r>
      <w:r w:rsidR="00364418">
        <w:rPr>
          <w:u w:val="single"/>
        </w:rPr>
        <w:t xml:space="preserve"> also</w:t>
      </w:r>
      <w:r>
        <w:t xml:space="preserve"> </w:t>
      </w:r>
      <w:r>
        <w:rPr>
          <w:b/>
        </w:rPr>
        <w:t>BILLING.</w:t>
      </w:r>
    </w:p>
    <w:p w:rsidR="00C0633D" w:rsidRDefault="00C0633D" w:rsidP="00C0633D">
      <w:pPr>
        <w:rPr>
          <w:b/>
        </w:rPr>
      </w:pPr>
    </w:p>
    <w:p w:rsidR="00C0633D" w:rsidRDefault="00C0633D" w:rsidP="00C0633D"/>
    <w:sectPr w:rsidR="00C0633D"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36ED" w:rsidRDefault="001836ED" w:rsidP="001836ED">
      <w:r>
        <w:separator/>
      </w:r>
    </w:p>
  </w:endnote>
  <w:endnote w:type="continuationSeparator" w:id="0">
    <w:p w:rsidR="001836ED" w:rsidRDefault="001836ED" w:rsidP="001836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36ED" w:rsidRDefault="001836ED" w:rsidP="001836ED">
      <w:r>
        <w:separator/>
      </w:r>
    </w:p>
  </w:footnote>
  <w:footnote w:type="continuationSeparator" w:id="0">
    <w:p w:rsidR="001836ED" w:rsidRDefault="001836ED" w:rsidP="001836ED">
      <w:r>
        <w:continuationSeparator/>
      </w:r>
    </w:p>
  </w:footnote>
  <w:footnote w:id="1">
    <w:p w:rsidR="00783DDF" w:rsidRPr="004C3F33" w:rsidRDefault="00783DDF">
      <w:pPr>
        <w:pStyle w:val="FootnoteText"/>
      </w:pPr>
      <w:r>
        <w:rPr>
          <w:rStyle w:val="FootnoteReference"/>
        </w:rPr>
        <w:footnoteRef/>
      </w:r>
      <w:r>
        <w:t xml:space="preserve"> </w:t>
      </w:r>
      <w:r w:rsidR="004C3F33">
        <w:t xml:space="preserve">AMA Ethical Opinion 6.13, </w:t>
      </w:r>
      <w:r w:rsidR="004C3F33">
        <w:rPr>
          <w:i/>
        </w:rPr>
        <w:t>available at:</w:t>
      </w:r>
      <w:r w:rsidR="004C3F33">
        <w:t xml:space="preserve"> </w:t>
      </w:r>
      <w:hyperlink r:id="rId1" w:history="1">
        <w:r w:rsidR="004C3F33" w:rsidRPr="003E48F0">
          <w:rPr>
            <w:rStyle w:val="Hyperlink"/>
          </w:rPr>
          <w:t>http://www.ama-assn.org/ama/pub/physician-resources/legal-topics/regulatory-compliance-topics/health-care-fraud-abuse/professional-courtesy-in-context-health-care.page</w:t>
        </w:r>
      </w:hyperlink>
      <w:r w:rsidR="004C3F33">
        <w:t xml:space="preserve">, last visited May 31, 2012. </w:t>
      </w:r>
    </w:p>
  </w:footnote>
  <w:footnote w:id="2">
    <w:p w:rsidR="001836ED" w:rsidRPr="00364418" w:rsidRDefault="001836ED">
      <w:pPr>
        <w:pStyle w:val="FootnoteText"/>
        <w:rPr>
          <w:u w:val="single"/>
        </w:rPr>
      </w:pPr>
      <w:r>
        <w:rPr>
          <w:rStyle w:val="FootnoteReference"/>
        </w:rPr>
        <w:footnoteRef/>
      </w:r>
      <w:r>
        <w:t xml:space="preserve"> 42 C.F.R. </w:t>
      </w:r>
      <w:r w:rsidRPr="00DC2587">
        <w:rPr>
          <w:rFonts w:ascii="Calibri" w:hAnsi="Calibri" w:cs="Calibri"/>
        </w:rPr>
        <w:t>§</w:t>
      </w:r>
      <w:r>
        <w:t xml:space="preserve"> 1001.952(h</w:t>
      </w:r>
      <w:proofErr w:type="gramStart"/>
      <w:r>
        <w:t>)(</w:t>
      </w:r>
      <w:proofErr w:type="gramEnd"/>
      <w:r>
        <w:t>5)(iv).</w:t>
      </w:r>
      <w:r w:rsidR="00364418">
        <w:t xml:space="preserve"> </w:t>
      </w:r>
      <w:r w:rsidR="00364418">
        <w:rPr>
          <w:u w:val="single"/>
        </w:rPr>
        <w:t xml:space="preserve">See also: Office of Inspector General Special Fraud Alert: </w:t>
      </w:r>
      <w:r w:rsidR="00364418">
        <w:rPr>
          <w:i/>
          <w:u w:val="single"/>
        </w:rPr>
        <w:t xml:space="preserve">Routine Waiver of Copayments or Deductibles </w:t>
      </w:r>
      <w:proofErr w:type="gramStart"/>
      <w:r w:rsidR="00364418">
        <w:rPr>
          <w:i/>
          <w:u w:val="single"/>
        </w:rPr>
        <w:t>Under</w:t>
      </w:r>
      <w:proofErr w:type="gramEnd"/>
      <w:r w:rsidR="00364418">
        <w:rPr>
          <w:i/>
          <w:u w:val="single"/>
        </w:rPr>
        <w:t xml:space="preserve"> Medicare Part B</w:t>
      </w:r>
      <w:r w:rsidR="00364418">
        <w:rPr>
          <w:u w:val="single"/>
        </w:rPr>
        <w:t xml:space="preserve">, Issued May, 1991, 59 Fed. </w:t>
      </w:r>
      <w:proofErr w:type="gramStart"/>
      <w:r w:rsidR="00364418">
        <w:rPr>
          <w:u w:val="single"/>
        </w:rPr>
        <w:t>Reg. 242 (1994).</w:t>
      </w:r>
      <w:proofErr w:type="gramEnd"/>
    </w:p>
  </w:footnote>
  <w:footnote w:id="3">
    <w:p w:rsidR="00364418" w:rsidRDefault="00364418">
      <w:pPr>
        <w:pStyle w:val="FootnoteText"/>
      </w:pPr>
      <w:r>
        <w:rPr>
          <w:rStyle w:val="FootnoteReference"/>
        </w:rPr>
        <w:footnoteRef/>
      </w:r>
      <w:r>
        <w:t xml:space="preserve"> </w:t>
      </w:r>
      <w:r>
        <w:rPr>
          <w:u w:val="single"/>
        </w:rPr>
        <w:t xml:space="preserve">Office of Inspector General Special Fraud Alert: </w:t>
      </w:r>
      <w:r>
        <w:rPr>
          <w:i/>
          <w:u w:val="single"/>
        </w:rPr>
        <w:t xml:space="preserve">Routine Waiver of Copayments or Deductibles Under Medicare Part </w:t>
      </w:r>
      <w:proofErr w:type="gramStart"/>
      <w:r>
        <w:rPr>
          <w:i/>
          <w:u w:val="single"/>
        </w:rPr>
        <w:t>B</w:t>
      </w:r>
      <w:r>
        <w:rPr>
          <w:u w:val="single"/>
        </w:rPr>
        <w:t>,</w:t>
      </w:r>
      <w:proofErr w:type="gramEnd"/>
      <w:r>
        <w:rPr>
          <w:u w:val="single"/>
        </w:rPr>
        <w:t xml:space="preserve"> Issued May, 1991, 59 Fed. </w:t>
      </w:r>
      <w:proofErr w:type="gramStart"/>
      <w:r>
        <w:rPr>
          <w:u w:val="single"/>
        </w:rPr>
        <w:t>Reg. 242 (1994).</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96C43"/>
    <w:multiLevelType w:val="hybridMultilevel"/>
    <w:tmpl w:val="4552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C0633D"/>
    <w:rsid w:val="000D4519"/>
    <w:rsid w:val="001836ED"/>
    <w:rsid w:val="002573E6"/>
    <w:rsid w:val="002C7ECC"/>
    <w:rsid w:val="002F3A57"/>
    <w:rsid w:val="00364418"/>
    <w:rsid w:val="004C3F33"/>
    <w:rsid w:val="00561FAA"/>
    <w:rsid w:val="006E3871"/>
    <w:rsid w:val="00701A68"/>
    <w:rsid w:val="00751593"/>
    <w:rsid w:val="00783DDF"/>
    <w:rsid w:val="00C0633D"/>
    <w:rsid w:val="00DF7E97"/>
    <w:rsid w:val="00F30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33D"/>
    <w:pPr>
      <w:spacing w:after="0" w:line="240" w:lineRule="auto"/>
      <w:jc w:val="both"/>
    </w:pPr>
    <w:rPr>
      <w:rFonts w:eastAsia="Times New Roman"/>
    </w:rPr>
  </w:style>
  <w:style w:type="paragraph" w:styleId="Heading1">
    <w:name w:val="heading 1"/>
    <w:basedOn w:val="Normal"/>
    <w:next w:val="Normal"/>
    <w:link w:val="Heading1Char"/>
    <w:qFormat/>
    <w:rsid w:val="00C0633D"/>
    <w:pPr>
      <w:keepNext/>
      <w:keepLines/>
      <w:widowControl w:val="0"/>
      <w:jc w:val="center"/>
      <w:outlineLvl w:val="0"/>
    </w:pPr>
    <w:rPr>
      <w:b/>
      <w:kern w:val="28"/>
    </w:rPr>
  </w:style>
  <w:style w:type="paragraph" w:styleId="Heading2">
    <w:name w:val="heading 2"/>
    <w:basedOn w:val="Normal"/>
    <w:next w:val="Normal"/>
    <w:link w:val="Heading2Char"/>
    <w:qFormat/>
    <w:rsid w:val="00C0633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633D"/>
    <w:rPr>
      <w:rFonts w:eastAsia="Times New Roman"/>
      <w:b/>
      <w:kern w:val="28"/>
    </w:rPr>
  </w:style>
  <w:style w:type="character" w:customStyle="1" w:styleId="Heading2Char">
    <w:name w:val="Heading 2 Char"/>
    <w:basedOn w:val="DefaultParagraphFont"/>
    <w:link w:val="Heading2"/>
    <w:rsid w:val="00C0633D"/>
    <w:rPr>
      <w:rFonts w:eastAsia="Times New Roman"/>
      <w:b/>
    </w:rPr>
  </w:style>
  <w:style w:type="paragraph" w:styleId="FootnoteText">
    <w:name w:val="footnote text"/>
    <w:basedOn w:val="Normal"/>
    <w:link w:val="FootnoteTextChar"/>
    <w:uiPriority w:val="99"/>
    <w:semiHidden/>
    <w:unhideWhenUsed/>
    <w:rsid w:val="001836ED"/>
    <w:rPr>
      <w:sz w:val="20"/>
    </w:rPr>
  </w:style>
  <w:style w:type="character" w:customStyle="1" w:styleId="FootnoteTextChar">
    <w:name w:val="Footnote Text Char"/>
    <w:basedOn w:val="DefaultParagraphFont"/>
    <w:link w:val="FootnoteText"/>
    <w:uiPriority w:val="99"/>
    <w:semiHidden/>
    <w:rsid w:val="001836ED"/>
    <w:rPr>
      <w:rFonts w:eastAsia="Times New Roman"/>
      <w:sz w:val="20"/>
    </w:rPr>
  </w:style>
  <w:style w:type="character" w:styleId="FootnoteReference">
    <w:name w:val="footnote reference"/>
    <w:basedOn w:val="DefaultParagraphFont"/>
    <w:uiPriority w:val="99"/>
    <w:semiHidden/>
    <w:unhideWhenUsed/>
    <w:rsid w:val="001836ED"/>
    <w:rPr>
      <w:vertAlign w:val="superscript"/>
    </w:rPr>
  </w:style>
  <w:style w:type="paragraph" w:styleId="BalloonText">
    <w:name w:val="Balloon Text"/>
    <w:basedOn w:val="Normal"/>
    <w:link w:val="BalloonTextChar"/>
    <w:uiPriority w:val="99"/>
    <w:semiHidden/>
    <w:unhideWhenUsed/>
    <w:rsid w:val="00364418"/>
    <w:rPr>
      <w:rFonts w:ascii="Tahoma" w:hAnsi="Tahoma" w:cs="Tahoma"/>
      <w:sz w:val="16"/>
      <w:szCs w:val="16"/>
    </w:rPr>
  </w:style>
  <w:style w:type="character" w:customStyle="1" w:styleId="BalloonTextChar">
    <w:name w:val="Balloon Text Char"/>
    <w:basedOn w:val="DefaultParagraphFont"/>
    <w:link w:val="BalloonText"/>
    <w:uiPriority w:val="99"/>
    <w:semiHidden/>
    <w:rsid w:val="00364418"/>
    <w:rPr>
      <w:rFonts w:ascii="Tahoma" w:eastAsia="Times New Roman" w:hAnsi="Tahoma" w:cs="Tahoma"/>
      <w:sz w:val="16"/>
      <w:szCs w:val="16"/>
    </w:rPr>
  </w:style>
  <w:style w:type="paragraph" w:styleId="ListParagraph">
    <w:name w:val="List Paragraph"/>
    <w:basedOn w:val="Normal"/>
    <w:uiPriority w:val="34"/>
    <w:qFormat/>
    <w:rsid w:val="00364418"/>
    <w:pPr>
      <w:ind w:left="720"/>
      <w:contextualSpacing/>
    </w:pPr>
  </w:style>
  <w:style w:type="character" w:styleId="Hyperlink">
    <w:name w:val="Hyperlink"/>
    <w:basedOn w:val="DefaultParagraphFont"/>
    <w:uiPriority w:val="99"/>
    <w:unhideWhenUsed/>
    <w:rsid w:val="004C3F3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www.ama-assn.org/ama/pub/physician-resources/legal-topics/regulatory-compliance-topics/health-care-fraud-abuse/professional-courtesy-in-context-health-care.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20AE42-7C13-44F7-8680-5F0460C316EB}"/>
</file>

<file path=customXml/itemProps2.xml><?xml version="1.0" encoding="utf-8"?>
<ds:datastoreItem xmlns:ds="http://schemas.openxmlformats.org/officeDocument/2006/customXml" ds:itemID="{E8C5B237-E7C3-47B7-B8BA-D86F7ED2EDB8}"/>
</file>

<file path=customXml/itemProps3.xml><?xml version="1.0" encoding="utf-8"?>
<ds:datastoreItem xmlns:ds="http://schemas.openxmlformats.org/officeDocument/2006/customXml" ds:itemID="{A96504F6-6144-40A0-BD7B-1679CA127777}"/>
</file>

<file path=docProps/app.xml><?xml version="1.0" encoding="utf-8"?>
<Properties xmlns="http://schemas.openxmlformats.org/officeDocument/2006/extended-properties" xmlns:vt="http://schemas.openxmlformats.org/officeDocument/2006/docPropsVTypes">
  <Template>Normal.dotm</Template>
  <TotalTime>18</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2012-12-05T21:33:00Z</dcterms:created>
  <dcterms:modified xsi:type="dcterms:W3CDTF">2012-12-05T21:50:00Z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