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13" w:rsidRDefault="00223F13" w:rsidP="00223F13">
      <w:pPr>
        <w:pStyle w:val="Heading1"/>
      </w:pPr>
      <w:bookmarkStart w:id="0" w:name="_Toc161565717"/>
      <w:r>
        <w:t>REBATES</w:t>
      </w:r>
      <w:bookmarkEnd w:id="0"/>
    </w:p>
    <w:p w:rsidR="002F3A57" w:rsidRDefault="002F3A57"/>
    <w:p w:rsidR="00223F13" w:rsidRDefault="00223F13" w:rsidP="00223F13">
      <w:pPr>
        <w:pStyle w:val="Heading1"/>
        <w:jc w:val="left"/>
      </w:pPr>
      <w:r>
        <w:t>May a physician receive a payment for referring a patient to another physician?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</w:pP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  <w:jc w:val="both"/>
      </w:pPr>
      <w:r>
        <w:tab/>
        <w:t>No.  Under Washington law, it is both a misdemeanor</w:t>
      </w:r>
      <w:r>
        <w:rPr>
          <w:rStyle w:val="FootnoteReference"/>
        </w:rPr>
        <w:footnoteReference w:id="1"/>
      </w:r>
      <w:r>
        <w:t xml:space="preserve"> and unprofessional conduct</w:t>
      </w:r>
      <w:r>
        <w:rPr>
          <w:rStyle w:val="FootnoteReference"/>
        </w:rPr>
        <w:footnoteReference w:id="2"/>
      </w:r>
      <w:r>
        <w:t xml:space="preserve"> for a physician to receive any rebate, refund, commission, unearned discount or profit or compensation for referring patients.  </w:t>
      </w:r>
      <w:r>
        <w:t>The physician’s license may even be revoked under such circumstances.</w:t>
      </w:r>
      <w:r>
        <w:rPr>
          <w:rStyle w:val="FootnoteReference"/>
        </w:rPr>
        <w:footnoteReference w:id="3"/>
      </w:r>
      <w:r>
        <w:t xml:space="preserve">  </w:t>
      </w:r>
      <w:r>
        <w:rPr>
          <w:u w:val="single"/>
        </w:rPr>
        <w:t>See</w:t>
      </w:r>
      <w:r>
        <w:t xml:space="preserve"> </w:t>
      </w:r>
      <w:r>
        <w:rPr>
          <w:b/>
        </w:rPr>
        <w:t>UNPROFESSIONAL CONDUCT</w:t>
      </w:r>
      <w:r>
        <w:t>.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  <w:spacing w:after="0"/>
        <w:rPr>
          <w:b/>
        </w:rPr>
      </w:pPr>
    </w:p>
    <w:p w:rsidR="00223F13" w:rsidRDefault="00223F13" w:rsidP="00223F13">
      <w:pPr>
        <w:spacing w:after="0"/>
        <w:rPr>
          <w:b/>
        </w:rPr>
      </w:pPr>
      <w:r w:rsidRPr="00223F13">
        <w:rPr>
          <w:b/>
        </w:rPr>
        <w:t>What does Washington’s anti-rebate law prohibit?</w:t>
      </w:r>
    </w:p>
    <w:p w:rsidR="00223F13" w:rsidRDefault="00223F13" w:rsidP="00223F13">
      <w:pPr>
        <w:spacing w:after="0"/>
        <w:rPr>
          <w:b/>
        </w:rPr>
      </w:pPr>
    </w:p>
    <w:p w:rsidR="00223F13" w:rsidRDefault="00223F13" w:rsidP="00223F13">
      <w:pPr>
        <w:spacing w:after="0"/>
        <w:ind w:firstLine="720"/>
        <w:jc w:val="both"/>
      </w:pPr>
      <w:r>
        <w:t>Under Washington’s anti-rebate statute, it is a misdemeanor for any person or entity to pay, offer to pay, allow, request, or receive, directly or indirectly, any rebate, refund, commission, unearned discount or profit by means of a credit or other valuable consideration from a third party (someone other than the patient) in connection with:</w:t>
      </w:r>
      <w:r>
        <w:rPr>
          <w:rStyle w:val="FootnoteReference"/>
        </w:rPr>
        <w:footnoteReference w:id="4"/>
      </w:r>
    </w:p>
    <w:p w:rsidR="00223F13" w:rsidRPr="00223F13" w:rsidRDefault="00223F13" w:rsidP="00223F13">
      <w:pPr>
        <w:spacing w:after="0"/>
        <w:ind w:firstLine="720"/>
        <w:jc w:val="both"/>
        <w:rPr>
          <w:b/>
        </w:rPr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referral of patients. </w:t>
      </w:r>
    </w:p>
    <w:p w:rsidR="00223F13" w:rsidRDefault="00223F13" w:rsidP="00223F13">
      <w:pPr>
        <w:pStyle w:val="ListParagraph"/>
        <w:spacing w:after="0"/>
        <w:jc w:val="both"/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>The furnishing of any medical, surgical or dental care diagnosis, treatment or service.</w:t>
      </w:r>
    </w:p>
    <w:p w:rsidR="00223F13" w:rsidRDefault="00223F13" w:rsidP="00223F13">
      <w:pPr>
        <w:pStyle w:val="ListParagraph"/>
      </w:pPr>
    </w:p>
    <w:p w:rsidR="00223F13" w:rsidRDefault="00223F13" w:rsidP="00223F13">
      <w:pPr>
        <w:pStyle w:val="ListParagraph"/>
        <w:numPr>
          <w:ilvl w:val="0"/>
          <w:numId w:val="1"/>
        </w:numPr>
        <w:spacing w:after="0"/>
        <w:jc w:val="both"/>
      </w:pPr>
      <w:r>
        <w:t>The sale, rental, furnishing or supplying of:</w:t>
      </w:r>
    </w:p>
    <w:p w:rsidR="00223F13" w:rsidRDefault="00223F13" w:rsidP="00223F13">
      <w:pPr>
        <w:pStyle w:val="ListParagrap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Any clinical laboratory supplies or services of any kind.</w:t>
      </w:r>
    </w:p>
    <w:p w:rsidR="00223F13" w:rsidRDefault="00223F13" w:rsidP="00223F13">
      <w:pPr>
        <w:pStyle w:val="ListParagraph"/>
        <w:ind w:left="1440"/>
        <w:jc w:val="bot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Drugs, medications or medical supplies.</w:t>
      </w:r>
    </w:p>
    <w:p w:rsidR="00223F13" w:rsidRDefault="00223F13" w:rsidP="00223F13">
      <w:pPr>
        <w:pStyle w:val="ListParagraph"/>
        <w:jc w:val="both"/>
      </w:pPr>
    </w:p>
    <w:p w:rsidR="00223F13" w:rsidRDefault="00223F13" w:rsidP="00223F13">
      <w:pPr>
        <w:pStyle w:val="ListParagraph"/>
        <w:numPr>
          <w:ilvl w:val="1"/>
          <w:numId w:val="1"/>
        </w:numPr>
        <w:jc w:val="both"/>
      </w:pPr>
      <w:r>
        <w:t>Any other goods, services or supplies prescribed for medical diagnosis, care or treatment.</w:t>
      </w:r>
    </w:p>
    <w:p w:rsidR="00223F13" w:rsidRDefault="00223F13" w:rsidP="00223F13">
      <w:pPr>
        <w:ind w:firstLine="720"/>
        <w:jc w:val="both"/>
      </w:pPr>
      <w:r>
        <w:t xml:space="preserve">The statute </w:t>
      </w:r>
      <w:r>
        <w:rPr>
          <w:u w:val="single"/>
        </w:rPr>
        <w:t>does not</w:t>
      </w:r>
      <w:r>
        <w:t xml:space="preserve"> prevent a patient from paying a physician for services rendered or prescriptions received, nor does it prevent a physician from making a profit on the furnishing of goods or care to a patient.</w:t>
      </w:r>
      <w:r>
        <w:rPr>
          <w:rStyle w:val="FootnoteReference"/>
        </w:rPr>
        <w:footnoteReference w:id="5"/>
      </w:r>
    </w:p>
    <w:p w:rsidR="00223F13" w:rsidRDefault="00223F13" w:rsidP="00223F13">
      <w:pPr>
        <w:pStyle w:val="Heading1"/>
        <w:jc w:val="left"/>
      </w:pPr>
      <w:r>
        <w:t>Are there any exceptions to Washington’s anti-rebate prohibitions?</w:t>
      </w:r>
    </w:p>
    <w:p w:rsidR="00223F13" w:rsidRDefault="00223F13" w:rsidP="00223F13">
      <w:pPr>
        <w:tabs>
          <w:tab w:val="left" w:pos="-1440"/>
          <w:tab w:val="left" w:pos="-720"/>
        </w:tabs>
        <w:suppressAutoHyphens/>
      </w:pPr>
    </w:p>
    <w:p w:rsidR="00223F13" w:rsidRDefault="00223F13" w:rsidP="00223F13">
      <w:pPr>
        <w:tabs>
          <w:tab w:val="left" w:pos="-1440"/>
          <w:tab w:val="left" w:pos="-720"/>
        </w:tabs>
        <w:suppressAutoHyphens/>
        <w:jc w:val="both"/>
      </w:pPr>
      <w:r>
        <w:lastRenderedPageBreak/>
        <w:tab/>
        <w:t>Yes.  Under Washington’s anti-rebate law, a physician who has an ownership interest in an entity which furnishes clinical laboratory or other diagnostic services may refer a patient to that entity, if and only if:</w:t>
      </w:r>
      <w:r>
        <w:rPr>
          <w:rStyle w:val="FootnoteReference"/>
        </w:rPr>
        <w:footnoteReference w:id="6"/>
      </w:r>
    </w:p>
    <w:p w:rsidR="00223F13" w:rsidRDefault="00223F13" w:rsidP="00223F13">
      <w:pPr>
        <w:pStyle w:val="ListBullet"/>
        <w:jc w:val="both"/>
      </w:pPr>
      <w:r>
        <w:t>The physician affirmatively discloses to the patient, in writing, the fact that the physician has a financial interest in the entity.</w:t>
      </w:r>
    </w:p>
    <w:p w:rsidR="00223F13" w:rsidRDefault="00223F13" w:rsidP="00223F13">
      <w:pPr>
        <w:pStyle w:val="ListBullet"/>
        <w:numPr>
          <w:ilvl w:val="0"/>
          <w:numId w:val="0"/>
        </w:numPr>
        <w:ind w:left="720"/>
        <w:jc w:val="both"/>
      </w:pPr>
    </w:p>
    <w:p w:rsidR="00223F13" w:rsidRDefault="00223F13" w:rsidP="00223F13">
      <w:pPr>
        <w:pStyle w:val="ListBullet"/>
        <w:jc w:val="both"/>
      </w:pPr>
      <w:r>
        <w:t>The physician provides the patient with a list of effective alternative facilities.</w:t>
      </w:r>
    </w:p>
    <w:p w:rsidR="00223F13" w:rsidRDefault="00223F13" w:rsidP="00223F13">
      <w:pPr>
        <w:pStyle w:val="ListBullet"/>
        <w:numPr>
          <w:ilvl w:val="0"/>
          <w:numId w:val="0"/>
        </w:numPr>
        <w:ind w:left="720"/>
        <w:jc w:val="both"/>
      </w:pPr>
    </w:p>
    <w:p w:rsidR="00223F13" w:rsidRDefault="00223F13" w:rsidP="00223F13">
      <w:pPr>
        <w:pStyle w:val="ListBullet"/>
        <w:jc w:val="both"/>
      </w:pPr>
      <w:r>
        <w:t>The physician informs the patient that the patient has the option of using one of the alternative facilities.</w:t>
      </w:r>
    </w:p>
    <w:p w:rsidR="00223F13" w:rsidRDefault="00223F13" w:rsidP="00223F13">
      <w:pPr>
        <w:spacing w:after="0"/>
        <w:ind w:firstLine="360"/>
      </w:pPr>
    </w:p>
    <w:p w:rsidR="00223F13" w:rsidRDefault="00223F13" w:rsidP="00223F13">
      <w:pPr>
        <w:spacing w:after="0"/>
        <w:ind w:firstLine="360"/>
        <w:jc w:val="both"/>
      </w:pPr>
      <w:r>
        <w:t>The physician assures the patient that the patient will not be treated differently if the patient chooses one of the alternative facilities.</w:t>
      </w:r>
    </w:p>
    <w:p w:rsidR="00223F13" w:rsidRDefault="00223F13" w:rsidP="00223F13">
      <w:pPr>
        <w:spacing w:after="0"/>
      </w:pPr>
    </w:p>
    <w:p w:rsidR="00223F13" w:rsidRDefault="00223F13" w:rsidP="00223F13">
      <w:pPr>
        <w:pStyle w:val="Heading1"/>
        <w:jc w:val="both"/>
      </w:pPr>
      <w:r>
        <w:t>Does compliance with the exception to Washington’s anti-rebate prohibition ensure compliance with either the Medicare-Medicaid anti-kickback law or the Medicare-Medicaid physician self-referral prohibitions?</w:t>
      </w:r>
    </w:p>
    <w:p w:rsidR="00223F13" w:rsidRDefault="00223F13" w:rsidP="00223F13">
      <w:pPr>
        <w:spacing w:after="0"/>
      </w:pPr>
    </w:p>
    <w:p w:rsidR="00223F13" w:rsidRDefault="00223F13" w:rsidP="00223F13">
      <w:pPr>
        <w:spacing w:after="0"/>
        <w:jc w:val="both"/>
      </w:pPr>
      <w:r>
        <w:tab/>
        <w:t xml:space="preserve">No.  </w:t>
      </w:r>
      <w:r>
        <w:rPr>
          <w:u w:val="single"/>
        </w:rPr>
        <w:t>See</w:t>
      </w:r>
      <w:r>
        <w:t xml:space="preserve"> </w:t>
      </w:r>
      <w:r>
        <w:rPr>
          <w:b/>
        </w:rPr>
        <w:t xml:space="preserve">MEDICARE-MEDICAID FRAUD AND ABUSE AND ANTI-KICKBACK PROVISIONS </w:t>
      </w:r>
      <w:r>
        <w:t xml:space="preserve">and </w:t>
      </w:r>
      <w:r>
        <w:rPr>
          <w:b/>
        </w:rPr>
        <w:t>MEDICARE-MEDICAID PHYSICIAN SELF-REFERRAL PROHIBITIONS (STARK LAWS)</w:t>
      </w:r>
      <w:r>
        <w:t xml:space="preserve"> for information concerning compliance with those laws.</w:t>
      </w:r>
    </w:p>
    <w:sectPr w:rsidR="00223F1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F13" w:rsidRDefault="00223F13" w:rsidP="00223F13">
      <w:pPr>
        <w:spacing w:after="0" w:line="240" w:lineRule="auto"/>
      </w:pPr>
      <w:r>
        <w:separator/>
      </w:r>
    </w:p>
  </w:endnote>
  <w:endnote w:type="continuationSeparator" w:id="0">
    <w:p w:rsidR="00223F13" w:rsidRDefault="00223F13" w:rsidP="0022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F13" w:rsidRDefault="00223F13" w:rsidP="00223F13">
      <w:pPr>
        <w:spacing w:after="0" w:line="240" w:lineRule="auto"/>
      </w:pPr>
      <w:r>
        <w:separator/>
      </w:r>
    </w:p>
  </w:footnote>
  <w:footnote w:type="continuationSeparator" w:id="0">
    <w:p w:rsidR="00223F13" w:rsidRDefault="00223F13" w:rsidP="00223F13">
      <w:pPr>
        <w:spacing w:after="0" w:line="240" w:lineRule="auto"/>
      </w:pPr>
      <w:r>
        <w:continuationSeparator/>
      </w:r>
    </w:p>
  </w:footnote>
  <w:footnote w:id="1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19.68.010(3).</w:t>
      </w:r>
      <w:proofErr w:type="gramEnd"/>
    </w:p>
  </w:footnote>
  <w:footnote w:id="2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19.68.020.</w:t>
      </w:r>
      <w:proofErr w:type="gramEnd"/>
    </w:p>
  </w:footnote>
  <w:footnote w:id="3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19.68.030.</w:t>
      </w:r>
      <w:proofErr w:type="gramEnd"/>
    </w:p>
  </w:footnote>
  <w:footnote w:id="4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19.68.010.</w:t>
      </w:r>
      <w:proofErr w:type="gramEnd"/>
    </w:p>
  </w:footnote>
  <w:footnote w:id="5">
    <w:p w:rsidR="00223F13" w:rsidRPr="002F678E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 xml:space="preserve">Wright v. </w:t>
      </w:r>
      <w:proofErr w:type="spellStart"/>
      <w:r>
        <w:rPr>
          <w:i/>
        </w:rPr>
        <w:t>Jeckle</w:t>
      </w:r>
      <w:proofErr w:type="spellEnd"/>
      <w:r>
        <w:t xml:space="preserve">, 158 </w:t>
      </w:r>
      <w:proofErr w:type="spellStart"/>
      <w:r>
        <w:t>Wn</w:t>
      </w:r>
      <w:proofErr w:type="spellEnd"/>
      <w:r>
        <w:t>. 2d 375 (2006).</w:t>
      </w:r>
      <w:proofErr w:type="gramEnd"/>
    </w:p>
  </w:footnote>
  <w:footnote w:id="6">
    <w:p w:rsidR="00223F13" w:rsidRDefault="00223F13" w:rsidP="00223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19.68.010(2).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71D70"/>
    <w:multiLevelType w:val="hybridMultilevel"/>
    <w:tmpl w:val="30CC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F5909"/>
    <w:multiLevelType w:val="hybridMultilevel"/>
    <w:tmpl w:val="99804C54"/>
    <w:lvl w:ilvl="0" w:tplc="89F888C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3F13"/>
    <w:rsid w:val="000918CD"/>
    <w:rsid w:val="000D4519"/>
    <w:rsid w:val="00223F13"/>
    <w:rsid w:val="002573E6"/>
    <w:rsid w:val="002F3A57"/>
    <w:rsid w:val="003A142B"/>
    <w:rsid w:val="00725D09"/>
    <w:rsid w:val="00751593"/>
    <w:rsid w:val="00B414FD"/>
    <w:rsid w:val="00F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93"/>
  </w:style>
  <w:style w:type="paragraph" w:styleId="Heading1">
    <w:name w:val="heading 1"/>
    <w:basedOn w:val="Normal"/>
    <w:next w:val="Normal"/>
    <w:link w:val="Heading1Char"/>
    <w:qFormat/>
    <w:rsid w:val="00223F13"/>
    <w:pPr>
      <w:keepNext/>
      <w:keepLines/>
      <w:widowControl w:val="0"/>
      <w:spacing w:after="0" w:line="240" w:lineRule="auto"/>
      <w:jc w:val="center"/>
      <w:outlineLvl w:val="0"/>
    </w:pPr>
    <w:rPr>
      <w:rFonts w:eastAsia="Times New Roman"/>
      <w:b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F13"/>
    <w:rPr>
      <w:rFonts w:eastAsia="Times New Roman"/>
      <w:b/>
      <w:kern w:val="28"/>
    </w:rPr>
  </w:style>
  <w:style w:type="paragraph" w:styleId="ListParagraph">
    <w:name w:val="List Paragraph"/>
    <w:basedOn w:val="Normal"/>
    <w:uiPriority w:val="34"/>
    <w:qFormat/>
    <w:rsid w:val="00223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F13"/>
    <w:pPr>
      <w:spacing w:after="0" w:line="240" w:lineRule="auto"/>
      <w:jc w:val="both"/>
    </w:pPr>
    <w:rPr>
      <w:rFonts w:eastAsia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F13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F13"/>
    <w:rPr>
      <w:vertAlign w:val="superscript"/>
    </w:rPr>
  </w:style>
  <w:style w:type="paragraph" w:styleId="ListBullet">
    <w:name w:val="List Bullet"/>
    <w:basedOn w:val="Normal"/>
    <w:next w:val="Normal"/>
    <w:autoRedefine/>
    <w:semiHidden/>
    <w:rsid w:val="00223F13"/>
    <w:pPr>
      <w:numPr>
        <w:numId w:val="2"/>
      </w:numPr>
      <w:spacing w:after="0" w:line="240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0EFC3-5C37-4ECB-BAAE-DDEBDF62EBC7}"/>
</file>

<file path=customXml/itemProps2.xml><?xml version="1.0" encoding="utf-8"?>
<ds:datastoreItem xmlns:ds="http://schemas.openxmlformats.org/officeDocument/2006/customXml" ds:itemID="{12A966B3-2234-441E-B62B-AA184DDBFC3F}"/>
</file>

<file path=customXml/itemProps3.xml><?xml version="1.0" encoding="utf-8"?>
<ds:datastoreItem xmlns:ds="http://schemas.openxmlformats.org/officeDocument/2006/customXml" ds:itemID="{14FA4344-BDE6-4E05-A684-1771F1F3FC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1</cp:revision>
  <dcterms:created xsi:type="dcterms:W3CDTF">2012-12-05T21:53:00Z</dcterms:created>
  <dcterms:modified xsi:type="dcterms:W3CDTF">2012-12-05T22:11:00Z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