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D88" w:rsidRDefault="00425D88" w:rsidP="00425D88">
      <w:pPr>
        <w:pStyle w:val="Heading1"/>
      </w:pPr>
      <w:bookmarkStart w:id="0" w:name="_Toc161565722"/>
      <w:r>
        <w:t>STATUTE OF LIMITATIONS</w:t>
      </w:r>
      <w:bookmarkEnd w:id="0"/>
    </w:p>
    <w:p w:rsidR="00425D88" w:rsidRDefault="00425D88" w:rsidP="00425D88">
      <w:pPr>
        <w:keepNext/>
        <w:keepLines/>
        <w:widowControl w:val="0"/>
      </w:pPr>
    </w:p>
    <w:p w:rsidR="00425D88" w:rsidRDefault="00425D88" w:rsidP="00425D88">
      <w:pPr>
        <w:keepNext/>
        <w:keepLines/>
        <w:widowControl w:val="0"/>
      </w:pPr>
    </w:p>
    <w:p w:rsidR="00425D88" w:rsidRDefault="00425D88" w:rsidP="00425D88">
      <w:pPr>
        <w:pStyle w:val="Heading2"/>
      </w:pPr>
      <w:r>
        <w:t>What is a statute of limitations?</w:t>
      </w:r>
    </w:p>
    <w:p w:rsidR="00425D88" w:rsidRDefault="00425D88" w:rsidP="00425D88">
      <w:pPr>
        <w:keepNext/>
        <w:keepLines/>
        <w:widowControl w:val="0"/>
        <w:tabs>
          <w:tab w:val="left" w:pos="-1440"/>
          <w:tab w:val="left" w:pos="-720"/>
        </w:tabs>
        <w:suppressAutoHyphens/>
      </w:pPr>
    </w:p>
    <w:p w:rsidR="00425D88" w:rsidRDefault="00425D88" w:rsidP="00425D88">
      <w:pPr>
        <w:tabs>
          <w:tab w:val="left" w:pos="-1440"/>
          <w:tab w:val="left" w:pos="-720"/>
        </w:tabs>
        <w:suppressAutoHyphens/>
      </w:pPr>
      <w:r>
        <w:tab/>
        <w:t>It is a time limit beyond which a person may not bring a lawsuit.</w:t>
      </w:r>
    </w:p>
    <w:p w:rsidR="00425D88" w:rsidRDefault="00425D88" w:rsidP="00425D88">
      <w:pPr>
        <w:tabs>
          <w:tab w:val="left" w:pos="-1440"/>
          <w:tab w:val="left" w:pos="-720"/>
        </w:tabs>
        <w:suppressAutoHyphens/>
      </w:pPr>
    </w:p>
    <w:p w:rsidR="00425D88" w:rsidRDefault="00425D88" w:rsidP="00425D88">
      <w:pPr>
        <w:pStyle w:val="Heading2"/>
      </w:pPr>
      <w:r>
        <w:t>What is the medical malpractice statute of limitations in Washington?</w:t>
      </w:r>
    </w:p>
    <w:p w:rsidR="00425D88" w:rsidRDefault="00425D88" w:rsidP="00425D88">
      <w:pPr>
        <w:keepNext/>
        <w:keepLines/>
        <w:widowControl w:val="0"/>
        <w:tabs>
          <w:tab w:val="left" w:pos="-1440"/>
          <w:tab w:val="left" w:pos="-720"/>
        </w:tabs>
        <w:suppressAutoHyphens/>
      </w:pPr>
    </w:p>
    <w:p w:rsidR="00425D88" w:rsidRDefault="00425D88" w:rsidP="00425D88">
      <w:pPr>
        <w:keepNext/>
        <w:keepLines/>
        <w:widowControl w:val="0"/>
        <w:tabs>
          <w:tab w:val="left" w:pos="-1440"/>
          <w:tab w:val="left" w:pos="-720"/>
        </w:tabs>
        <w:suppressAutoHyphens/>
      </w:pPr>
      <w:r>
        <w:tab/>
        <w:t>A medical malpractice action in Washington must be brought within the later of:</w:t>
      </w:r>
      <w:r w:rsidR="00050EE4" w:rsidRPr="00050EE4">
        <w:rPr>
          <w:rStyle w:val="FootnoteReference"/>
        </w:rPr>
        <w:t xml:space="preserve"> </w:t>
      </w:r>
      <w:r w:rsidR="00050EE4">
        <w:rPr>
          <w:rStyle w:val="FootnoteReference"/>
        </w:rPr>
        <w:footnoteReference w:id="1"/>
      </w:r>
    </w:p>
    <w:p w:rsidR="00425D88" w:rsidRDefault="00425D88" w:rsidP="00425D88">
      <w:pPr>
        <w:keepNext/>
        <w:keepLines/>
        <w:widowControl w:val="0"/>
        <w:tabs>
          <w:tab w:val="left" w:pos="-1440"/>
          <w:tab w:val="left" w:pos="-720"/>
        </w:tabs>
        <w:suppressAutoHyphens/>
      </w:pPr>
    </w:p>
    <w:p w:rsidR="00425D88" w:rsidRDefault="00425D88" w:rsidP="00425D88">
      <w:pPr>
        <w:pStyle w:val="ListBullet"/>
      </w:pPr>
      <w:r>
        <w:t>Three years of the act or omission alleged to have caused the injury or condition.</w:t>
      </w:r>
    </w:p>
    <w:p w:rsidR="00425D88" w:rsidRDefault="00425D88" w:rsidP="00425D88">
      <w:pPr>
        <w:tabs>
          <w:tab w:val="left" w:pos="-1440"/>
          <w:tab w:val="left" w:pos="-720"/>
        </w:tabs>
        <w:suppressAutoHyphens/>
      </w:pPr>
    </w:p>
    <w:p w:rsidR="00425D88" w:rsidRDefault="00425D88" w:rsidP="00425D88">
      <w:pPr>
        <w:pStyle w:val="ListBullet"/>
      </w:pPr>
      <w:r>
        <w:t>One year of the time the patient or his representative discovered or reasonably should have discovered that the injury or condition was caused by the act or omission.</w:t>
      </w:r>
      <w:r w:rsidR="00050EE4">
        <w:rPr>
          <w:rStyle w:val="FootnoteReference"/>
        </w:rPr>
        <w:footnoteReference w:id="2"/>
      </w:r>
    </w:p>
    <w:p w:rsidR="00425D88" w:rsidRDefault="00425D88" w:rsidP="00425D88">
      <w:pPr>
        <w:tabs>
          <w:tab w:val="left" w:pos="-1440"/>
          <w:tab w:val="left" w:pos="-720"/>
        </w:tabs>
        <w:suppressAutoHyphens/>
      </w:pPr>
    </w:p>
    <w:p w:rsidR="00425D88" w:rsidRDefault="00D924E3" w:rsidP="00425D88">
      <w:pPr>
        <w:tabs>
          <w:tab w:val="left" w:pos="-1440"/>
          <w:tab w:val="left" w:pos="-720"/>
        </w:tabs>
        <w:suppressAutoHyphens/>
      </w:pPr>
      <w:r>
        <w:tab/>
      </w:r>
      <w:r w:rsidR="00425D88">
        <w:t>In 2006, the Washington Legislature re-enacted the eight-year statute of repose for medical malpractice actions, providing that “in no event shall an action be commenced more than eight years after said act or omission”.</w:t>
      </w:r>
      <w:r w:rsidR="00050EE4">
        <w:rPr>
          <w:rStyle w:val="FootnoteReference"/>
        </w:rPr>
        <w:footnoteReference w:id="3"/>
      </w:r>
      <w:r w:rsidR="00425D88">
        <w:t xml:space="preserve">  An earlier enactment of this statute of repose was declared unconstitutional by the Washington Supreme Court.</w:t>
      </w:r>
      <w:r w:rsidR="007D2E23">
        <w:rPr>
          <w:rStyle w:val="FootnoteReference"/>
        </w:rPr>
        <w:footnoteReference w:id="4"/>
      </w:r>
      <w:r w:rsidR="00425D88">
        <w:t xml:space="preserve">  Whether the 2006 reenactment of the statute repose will survive constitutional challenge remains to be seen.  </w:t>
      </w:r>
    </w:p>
    <w:p w:rsidR="00425D88" w:rsidRDefault="00425D88" w:rsidP="00425D88">
      <w:pPr>
        <w:tabs>
          <w:tab w:val="left" w:pos="-1440"/>
          <w:tab w:val="left" w:pos="-720"/>
        </w:tabs>
        <w:suppressAutoHyphens/>
      </w:pPr>
    </w:p>
    <w:p w:rsidR="00425D88" w:rsidRDefault="00425D88" w:rsidP="00425D88">
      <w:pPr>
        <w:tabs>
          <w:tab w:val="left" w:pos="-1440"/>
          <w:tab w:val="left" w:pos="-720"/>
        </w:tabs>
        <w:suppressAutoHyphens/>
      </w:pPr>
      <w:r>
        <w:tab/>
        <w:t>For purposes of a claim of continuing negligent medical treatment, the statute of limitations begins to run on the date of the last act or omission alleged to have caused the harm.</w:t>
      </w:r>
      <w:r w:rsidR="00634DB8">
        <w:rPr>
          <w:rStyle w:val="FootnoteReference"/>
        </w:rPr>
        <w:footnoteReference w:id="5"/>
      </w:r>
    </w:p>
    <w:p w:rsidR="00425D88" w:rsidRDefault="00425D88" w:rsidP="00425D88">
      <w:pPr>
        <w:tabs>
          <w:tab w:val="left" w:pos="-1440"/>
          <w:tab w:val="left" w:pos="-720"/>
        </w:tabs>
        <w:suppressAutoHyphens/>
      </w:pPr>
    </w:p>
    <w:p w:rsidR="00425D88" w:rsidRDefault="00425D88" w:rsidP="00425D88">
      <w:pPr>
        <w:pStyle w:val="Heading2"/>
      </w:pPr>
      <w:r>
        <w:t>When is the medical malpractice statute of limitations tolled?</w:t>
      </w:r>
    </w:p>
    <w:p w:rsidR="00425D88" w:rsidRDefault="00425D88" w:rsidP="00425D88">
      <w:pPr>
        <w:keepNext/>
        <w:keepLines/>
        <w:widowControl w:val="0"/>
        <w:tabs>
          <w:tab w:val="left" w:pos="-1440"/>
          <w:tab w:val="left" w:pos="-720"/>
        </w:tabs>
        <w:suppressAutoHyphens/>
      </w:pPr>
    </w:p>
    <w:p w:rsidR="00425D88" w:rsidRDefault="00425D88" w:rsidP="00425D88">
      <w:pPr>
        <w:tabs>
          <w:tab w:val="left" w:pos="-1440"/>
          <w:tab w:val="left" w:pos="-720"/>
        </w:tabs>
        <w:suppressAutoHyphens/>
      </w:pPr>
      <w:r>
        <w:tab/>
        <w:t>The medical malpractice statute of limitations is tolled (does not run) in the following circumstances:</w:t>
      </w:r>
    </w:p>
    <w:p w:rsidR="00425D88" w:rsidRDefault="00425D88" w:rsidP="00425D88">
      <w:pPr>
        <w:tabs>
          <w:tab w:val="left" w:pos="-1440"/>
          <w:tab w:val="left" w:pos="-720"/>
        </w:tabs>
        <w:suppressAutoHyphens/>
      </w:pPr>
    </w:p>
    <w:p w:rsidR="00425D88" w:rsidRDefault="00425D88" w:rsidP="00425D88">
      <w:pPr>
        <w:pStyle w:val="ListBullet"/>
      </w:pPr>
      <w:r>
        <w:t>Upon proof of fraud.</w:t>
      </w:r>
      <w:r w:rsidR="00422868">
        <w:rPr>
          <w:rStyle w:val="FootnoteReference"/>
        </w:rPr>
        <w:footnoteReference w:id="6"/>
      </w:r>
    </w:p>
    <w:p w:rsidR="00425D88" w:rsidRDefault="00425D88" w:rsidP="00425D88">
      <w:pPr>
        <w:tabs>
          <w:tab w:val="left" w:pos="-1440"/>
          <w:tab w:val="left" w:pos="-720"/>
        </w:tabs>
        <w:suppressAutoHyphens/>
      </w:pPr>
    </w:p>
    <w:p w:rsidR="00425D88" w:rsidRDefault="00425D88" w:rsidP="00425D88">
      <w:pPr>
        <w:pStyle w:val="ListBullet"/>
      </w:pPr>
      <w:r>
        <w:t>Upon proof of intentional concealment.</w:t>
      </w:r>
      <w:r w:rsidR="00050EE4">
        <w:rPr>
          <w:rStyle w:val="FootnoteReference"/>
        </w:rPr>
        <w:footnoteReference w:id="7"/>
      </w:r>
    </w:p>
    <w:p w:rsidR="00425D88" w:rsidRDefault="00425D88" w:rsidP="00425D88">
      <w:pPr>
        <w:tabs>
          <w:tab w:val="left" w:pos="-1440"/>
          <w:tab w:val="left" w:pos="-720"/>
        </w:tabs>
        <w:suppressAutoHyphens/>
      </w:pPr>
    </w:p>
    <w:p w:rsidR="00425D88" w:rsidRDefault="00425D88" w:rsidP="00425D88">
      <w:pPr>
        <w:pStyle w:val="ListBullet"/>
      </w:pPr>
      <w:r>
        <w:t>Upon proof of the presence of a foreign body not intended to have a therapeutic or diagnostic purpose or effect.</w:t>
      </w:r>
      <w:r w:rsidR="00050EE4">
        <w:rPr>
          <w:rStyle w:val="FootnoteReference"/>
        </w:rPr>
        <w:footnoteReference w:id="8"/>
      </w:r>
    </w:p>
    <w:p w:rsidR="00425D88" w:rsidRDefault="00425D88" w:rsidP="00425D88">
      <w:pPr>
        <w:tabs>
          <w:tab w:val="left" w:pos="-1440"/>
          <w:tab w:val="left" w:pos="-720"/>
        </w:tabs>
        <w:suppressAutoHyphens/>
      </w:pPr>
    </w:p>
    <w:p w:rsidR="00425D88" w:rsidRDefault="00425D88" w:rsidP="00425D88">
      <w:pPr>
        <w:tabs>
          <w:tab w:val="left" w:pos="-1440"/>
          <w:tab w:val="left" w:pos="-720"/>
        </w:tabs>
        <w:suppressAutoHyphens/>
      </w:pPr>
    </w:p>
    <w:p w:rsidR="00425D88" w:rsidRDefault="00425D88" w:rsidP="00425D88">
      <w:pPr>
        <w:pStyle w:val="ListBullet"/>
      </w:pPr>
      <w:r>
        <w:lastRenderedPageBreak/>
        <w:t>During the incompetency of a patient.</w:t>
      </w:r>
      <w:r w:rsidR="007D2E23">
        <w:rPr>
          <w:rStyle w:val="FootnoteReference"/>
        </w:rPr>
        <w:footnoteReference w:id="9"/>
      </w:r>
    </w:p>
    <w:p w:rsidR="00425D88" w:rsidRDefault="00425D88" w:rsidP="00425D88">
      <w:pPr>
        <w:tabs>
          <w:tab w:val="left" w:pos="-1440"/>
          <w:tab w:val="left" w:pos="-720"/>
        </w:tabs>
        <w:suppressAutoHyphens/>
      </w:pPr>
    </w:p>
    <w:p w:rsidR="00425D88" w:rsidRDefault="00425D88" w:rsidP="00425D88">
      <w:pPr>
        <w:pStyle w:val="ListBullet"/>
      </w:pPr>
      <w:r>
        <w:t>For one year following a written, good faith request for mediation before filing a lawsuit.</w:t>
      </w:r>
      <w:r w:rsidR="00422868">
        <w:rPr>
          <w:rStyle w:val="FootnoteReference"/>
        </w:rPr>
        <w:footnoteReference w:id="10"/>
      </w:r>
    </w:p>
    <w:p w:rsidR="00425D88" w:rsidRDefault="00425D88" w:rsidP="00425D88">
      <w:pPr>
        <w:tabs>
          <w:tab w:val="left" w:pos="-1440"/>
          <w:tab w:val="left" w:pos="-720"/>
        </w:tabs>
        <w:suppressAutoHyphens/>
      </w:pPr>
    </w:p>
    <w:p w:rsidR="00425D88" w:rsidRDefault="00425D88" w:rsidP="00425D88">
      <w:pPr>
        <w:pStyle w:val="Heading2"/>
      </w:pPr>
      <w:r>
        <w:t>Does the medical malpractice statute of limitations apply to every medical malpractice action against a physician?</w:t>
      </w:r>
    </w:p>
    <w:p w:rsidR="00425D88" w:rsidRDefault="00425D88" w:rsidP="00425D88">
      <w:pPr>
        <w:keepNext/>
        <w:keepLines/>
        <w:widowControl w:val="0"/>
        <w:tabs>
          <w:tab w:val="left" w:pos="-1440"/>
          <w:tab w:val="left" w:pos="-720"/>
        </w:tabs>
        <w:suppressAutoHyphens/>
      </w:pPr>
    </w:p>
    <w:p w:rsidR="00425D88" w:rsidRDefault="00425D88" w:rsidP="00425D88">
      <w:pPr>
        <w:tabs>
          <w:tab w:val="left" w:pos="-1440"/>
          <w:tab w:val="left" w:pos="-720"/>
        </w:tabs>
        <w:suppressAutoHyphens/>
      </w:pPr>
      <w:r>
        <w:tab/>
        <w:t>No.  The medical malpractice statute of limitations does not apply in a civil action based on intentional conduct brought against a physician for recovery of damages for injury as a result of childhood sexual abuse.</w:t>
      </w:r>
      <w:r w:rsidR="00064F15">
        <w:rPr>
          <w:rStyle w:val="FootnoteReference"/>
        </w:rPr>
        <w:footnoteReference w:id="11"/>
      </w:r>
    </w:p>
    <w:p w:rsidR="00425D88" w:rsidRDefault="00425D88" w:rsidP="00425D88">
      <w:pPr>
        <w:tabs>
          <w:tab w:val="left" w:pos="-1440"/>
          <w:tab w:val="left" w:pos="-720"/>
        </w:tabs>
        <w:suppressAutoHyphens/>
      </w:pPr>
    </w:p>
    <w:p w:rsidR="00425D88" w:rsidRDefault="00425D88" w:rsidP="00425D88">
      <w:pPr>
        <w:tabs>
          <w:tab w:val="left" w:pos="-1440"/>
          <w:tab w:val="left" w:pos="-720"/>
        </w:tabs>
        <w:suppressAutoHyphens/>
      </w:pPr>
      <w:r>
        <w:tab/>
        <w:t>It also does not apply to an action for wrongful death against a physician.  The patient’s personal representative has three years from the date of the patient’s death to bring a wrongful death</w:t>
      </w:r>
      <w:r w:rsidR="00FB0433">
        <w:t>,</w:t>
      </w:r>
      <w:r w:rsidR="00FB0433" w:rsidRPr="00FB0433">
        <w:rPr>
          <w:rStyle w:val="FootnoteReference"/>
        </w:rPr>
        <w:t xml:space="preserve"> </w:t>
      </w:r>
      <w:r w:rsidR="00FB0433">
        <w:rPr>
          <w:rStyle w:val="FootnoteReference"/>
        </w:rPr>
        <w:footnoteReference w:id="12"/>
      </w:r>
      <w:r w:rsidR="00FB0433">
        <w:t xml:space="preserve"> and to medical malpractice resulting in death</w:t>
      </w:r>
      <w:r>
        <w:t>.</w:t>
      </w:r>
      <w:r w:rsidR="00FB0433">
        <w:rPr>
          <w:rStyle w:val="FootnoteReference"/>
        </w:rPr>
        <w:footnoteReference w:id="13"/>
      </w:r>
    </w:p>
    <w:p w:rsidR="00425D88" w:rsidRDefault="00425D88" w:rsidP="00425D88">
      <w:pPr>
        <w:tabs>
          <w:tab w:val="left" w:pos="-1440"/>
          <w:tab w:val="left" w:pos="-720"/>
        </w:tabs>
        <w:suppressAutoHyphens/>
      </w:pPr>
    </w:p>
    <w:p w:rsidR="00425D88" w:rsidRDefault="00425D88" w:rsidP="00425D88">
      <w:pPr>
        <w:pStyle w:val="Heading2"/>
      </w:pPr>
      <w:r>
        <w:t>How does the medical malpractice statute of limitations apply to minors?</w:t>
      </w:r>
    </w:p>
    <w:p w:rsidR="00425D88" w:rsidRDefault="00425D88" w:rsidP="00425D88">
      <w:pPr>
        <w:keepNext/>
        <w:keepLines/>
        <w:widowControl w:val="0"/>
        <w:tabs>
          <w:tab w:val="left" w:pos="-1440"/>
          <w:tab w:val="left" w:pos="-720"/>
        </w:tabs>
        <w:suppressAutoHyphens/>
      </w:pPr>
    </w:p>
    <w:p w:rsidR="00B9741B" w:rsidRDefault="00425D88" w:rsidP="00B9741B">
      <w:pPr>
        <w:tabs>
          <w:tab w:val="left" w:pos="-1440"/>
          <w:tab w:val="left" w:pos="-720"/>
        </w:tabs>
        <w:suppressAutoHyphens/>
      </w:pPr>
      <w:r>
        <w:tab/>
      </w:r>
      <w:r w:rsidR="00B9741B">
        <w:t>Since 2006, t</w:t>
      </w:r>
      <w:r>
        <w:t xml:space="preserve">he medical malpractice statute of limitations does not </w:t>
      </w:r>
      <w:r w:rsidR="00B9741B">
        <w:t>toll for minors in medical malpractice cases.</w:t>
      </w:r>
      <w:r w:rsidR="00B9741B">
        <w:rPr>
          <w:rStyle w:val="FootnoteReference"/>
        </w:rPr>
        <w:footnoteReference w:id="14"/>
      </w:r>
      <w:r w:rsidR="00D924E3">
        <w:t xml:space="preserve">  </w:t>
      </w:r>
      <w:r w:rsidR="00B9741B">
        <w:t>T</w:t>
      </w:r>
      <w:r>
        <w:t>he minor has the later of three years, or one year from the date he or she discovers or reasonably should have discovered that the injury or condition was caused by the alleged professional negligent, to file suit.</w:t>
      </w:r>
      <w:r w:rsidR="00B9741B">
        <w:rPr>
          <w:rStyle w:val="FootnoteReference"/>
        </w:rPr>
        <w:footnoteReference w:id="15"/>
      </w:r>
      <w:r w:rsidR="00B9741B">
        <w:t xml:space="preserve">  The statute of repose states that in no case may a medical malpractice action be commenced more than eight years after the alleged negligent act or omission</w:t>
      </w:r>
      <w:r w:rsidR="00064F15">
        <w:t xml:space="preserve"> (except for the tolling of the statute of limitations until the patient/representative is aware of proof of fraud, intentional concealment, or a non-therapeutic foreign body)</w:t>
      </w:r>
      <w:r w:rsidR="00B9741B">
        <w:t>.</w:t>
      </w:r>
      <w:r w:rsidR="00B9741B">
        <w:rPr>
          <w:rStyle w:val="FootnoteReference"/>
        </w:rPr>
        <w:footnoteReference w:id="16"/>
      </w:r>
    </w:p>
    <w:p w:rsidR="00B9741B" w:rsidRDefault="00B9741B" w:rsidP="00425D88">
      <w:pPr>
        <w:tabs>
          <w:tab w:val="left" w:pos="-1440"/>
          <w:tab w:val="left" w:pos="-720"/>
        </w:tabs>
        <w:suppressAutoHyphens/>
      </w:pPr>
    </w:p>
    <w:p w:rsidR="00425D88" w:rsidRDefault="00425D88" w:rsidP="00425D88">
      <w:pPr>
        <w:tabs>
          <w:tab w:val="left" w:pos="-1440"/>
          <w:tab w:val="left" w:pos="-720"/>
        </w:tabs>
        <w:suppressAutoHyphens/>
      </w:pPr>
      <w:r>
        <w:tab/>
        <w:t>Once the minor reaches age 18 and is not otherwise incompetent, any knowledge that the custodial parent or guardian has about the minor’s possible medical malpractice claim is imputed to the minor.</w:t>
      </w:r>
      <w:r w:rsidR="00B9741B">
        <w:rPr>
          <w:rStyle w:val="FootnoteReference"/>
        </w:rPr>
        <w:footnoteReference w:id="17"/>
      </w:r>
    </w:p>
    <w:p w:rsidR="00425D88" w:rsidRDefault="00425D88" w:rsidP="00425D88">
      <w:pPr>
        <w:tabs>
          <w:tab w:val="left" w:pos="-1440"/>
          <w:tab w:val="left" w:pos="-720"/>
        </w:tabs>
        <w:suppressAutoHyphens/>
      </w:pPr>
    </w:p>
    <w:p w:rsidR="00B9741B" w:rsidRDefault="00425D88" w:rsidP="00425D88">
      <w:r>
        <w:tab/>
        <w:t xml:space="preserve">If a minor reaches age 18, but is otherwise incompetent, the statute of limitations does not </w:t>
      </w:r>
      <w:r w:rsidR="00B9741B">
        <w:t>b</w:t>
      </w:r>
      <w:r>
        <w:t>egin to run unless and until the patient becomes competent.</w:t>
      </w:r>
      <w:r w:rsidR="00B9741B">
        <w:rPr>
          <w:rStyle w:val="FootnoteReference"/>
        </w:rPr>
        <w:footnoteReference w:id="18"/>
      </w:r>
    </w:p>
    <w:p w:rsidR="005775A3" w:rsidRDefault="005775A3" w:rsidP="00D924E3"/>
    <w:sectPr w:rsidR="005775A3"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75A3" w:rsidRDefault="005775A3" w:rsidP="00422868">
      <w:r>
        <w:separator/>
      </w:r>
    </w:p>
  </w:endnote>
  <w:endnote w:type="continuationSeparator" w:id="0">
    <w:p w:rsidR="005775A3" w:rsidRDefault="005775A3" w:rsidP="0042286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75A3" w:rsidRDefault="005775A3" w:rsidP="00422868">
      <w:r>
        <w:separator/>
      </w:r>
    </w:p>
  </w:footnote>
  <w:footnote w:type="continuationSeparator" w:id="0">
    <w:p w:rsidR="005775A3" w:rsidRDefault="005775A3" w:rsidP="00422868">
      <w:r>
        <w:continuationSeparator/>
      </w:r>
    </w:p>
  </w:footnote>
  <w:footnote w:id="1">
    <w:p w:rsidR="005775A3" w:rsidRDefault="005775A3" w:rsidP="00050EE4">
      <w:pPr>
        <w:pStyle w:val="FootnoteText"/>
      </w:pPr>
      <w:r>
        <w:rPr>
          <w:rStyle w:val="FootnoteReference"/>
        </w:rPr>
        <w:footnoteRef/>
      </w:r>
      <w:r>
        <w:t xml:space="preserve"> </w:t>
      </w:r>
      <w:proofErr w:type="gramStart"/>
      <w:r>
        <w:t>RCW 4.16.350(3).</w:t>
      </w:r>
      <w:proofErr w:type="gramEnd"/>
    </w:p>
  </w:footnote>
  <w:footnote w:id="2">
    <w:p w:rsidR="005775A3" w:rsidRPr="00050EE4" w:rsidRDefault="005775A3">
      <w:pPr>
        <w:pStyle w:val="FootnoteText"/>
      </w:pPr>
      <w:r>
        <w:rPr>
          <w:rStyle w:val="FootnoteReference"/>
        </w:rPr>
        <w:footnoteRef/>
      </w:r>
      <w:r>
        <w:t xml:space="preserve"> </w:t>
      </w:r>
      <w:proofErr w:type="spellStart"/>
      <w:proofErr w:type="gramStart"/>
      <w:r>
        <w:rPr>
          <w:i/>
        </w:rPr>
        <w:t>Ohler</w:t>
      </w:r>
      <w:proofErr w:type="spellEnd"/>
      <w:r>
        <w:rPr>
          <w:i/>
        </w:rPr>
        <w:t xml:space="preserve"> v. Tacoma Gen. Hosp.</w:t>
      </w:r>
      <w:r>
        <w:t xml:space="preserve">, 92 Wn.2d 507 (1979), </w:t>
      </w:r>
      <w:proofErr w:type="spellStart"/>
      <w:r>
        <w:rPr>
          <w:i/>
        </w:rPr>
        <w:t>Adcox</w:t>
      </w:r>
      <w:proofErr w:type="spellEnd"/>
      <w:r>
        <w:rPr>
          <w:i/>
        </w:rPr>
        <w:t xml:space="preserve"> v. Children’s </w:t>
      </w:r>
      <w:proofErr w:type="spellStart"/>
      <w:r>
        <w:rPr>
          <w:i/>
        </w:rPr>
        <w:t>Hosp.and</w:t>
      </w:r>
      <w:proofErr w:type="spellEnd"/>
      <w:r>
        <w:rPr>
          <w:i/>
        </w:rPr>
        <w:t xml:space="preserve"> Med. Ctr</w:t>
      </w:r>
      <w:r>
        <w:t xml:space="preserve">., 123 </w:t>
      </w:r>
      <w:proofErr w:type="spellStart"/>
      <w:r>
        <w:t>Wn</w:t>
      </w:r>
      <w:proofErr w:type="spellEnd"/>
      <w:r>
        <w:t>. 2d 15 (1993).</w:t>
      </w:r>
      <w:proofErr w:type="gramEnd"/>
    </w:p>
  </w:footnote>
  <w:footnote w:id="3">
    <w:p w:rsidR="005775A3" w:rsidRDefault="005775A3">
      <w:pPr>
        <w:pStyle w:val="FootnoteText"/>
      </w:pPr>
      <w:r>
        <w:rPr>
          <w:rStyle w:val="FootnoteReference"/>
        </w:rPr>
        <w:footnoteRef/>
      </w:r>
      <w:r>
        <w:t xml:space="preserve"> </w:t>
      </w:r>
      <w:proofErr w:type="gramStart"/>
      <w:r>
        <w:t>RCW 4.16.350(3).</w:t>
      </w:r>
      <w:proofErr w:type="gramEnd"/>
    </w:p>
  </w:footnote>
  <w:footnote w:id="4">
    <w:p w:rsidR="005775A3" w:rsidRPr="007D2E23" w:rsidRDefault="005775A3">
      <w:pPr>
        <w:pStyle w:val="FootnoteText"/>
      </w:pPr>
      <w:r>
        <w:rPr>
          <w:rStyle w:val="FootnoteReference"/>
        </w:rPr>
        <w:footnoteRef/>
      </w:r>
      <w:r>
        <w:t xml:space="preserve"> </w:t>
      </w:r>
      <w:proofErr w:type="spellStart"/>
      <w:r>
        <w:rPr>
          <w:i/>
        </w:rPr>
        <w:t>DeYoung</w:t>
      </w:r>
      <w:proofErr w:type="spellEnd"/>
      <w:r>
        <w:rPr>
          <w:i/>
        </w:rPr>
        <w:t xml:space="preserve"> v. Providence Med. Ctr.</w:t>
      </w:r>
      <w:r>
        <w:t xml:space="preserve">, 136 </w:t>
      </w:r>
      <w:proofErr w:type="spellStart"/>
      <w:r>
        <w:t>Wn</w:t>
      </w:r>
      <w:proofErr w:type="spellEnd"/>
      <w:r>
        <w:t>. 2d 136 (1998).</w:t>
      </w:r>
    </w:p>
  </w:footnote>
  <w:footnote w:id="5">
    <w:p w:rsidR="005775A3" w:rsidRPr="00634DB8" w:rsidRDefault="005775A3">
      <w:pPr>
        <w:pStyle w:val="FootnoteText"/>
      </w:pPr>
      <w:r>
        <w:rPr>
          <w:rStyle w:val="FootnoteReference"/>
        </w:rPr>
        <w:footnoteRef/>
      </w:r>
      <w:r>
        <w:t xml:space="preserve"> </w:t>
      </w:r>
      <w:proofErr w:type="spellStart"/>
      <w:proofErr w:type="gramStart"/>
      <w:r>
        <w:rPr>
          <w:i/>
        </w:rPr>
        <w:t>Caughell</w:t>
      </w:r>
      <w:proofErr w:type="spellEnd"/>
      <w:r>
        <w:rPr>
          <w:i/>
        </w:rPr>
        <w:t xml:space="preserve"> v. Group </w:t>
      </w:r>
      <w:proofErr w:type="spellStart"/>
      <w:r>
        <w:rPr>
          <w:i/>
        </w:rPr>
        <w:t>Helath</w:t>
      </w:r>
      <w:proofErr w:type="spellEnd"/>
      <w:r>
        <w:rPr>
          <w:i/>
        </w:rPr>
        <w:t xml:space="preserve"> Coop.</w:t>
      </w:r>
      <w:r>
        <w:t xml:space="preserve">, 124 </w:t>
      </w:r>
      <w:proofErr w:type="spellStart"/>
      <w:r>
        <w:t>Wn</w:t>
      </w:r>
      <w:proofErr w:type="spellEnd"/>
      <w:r>
        <w:t xml:space="preserve">. 2d 217 (1994), </w:t>
      </w:r>
      <w:r>
        <w:rPr>
          <w:i/>
        </w:rPr>
        <w:t xml:space="preserve">Unruh v. </w:t>
      </w:r>
      <w:proofErr w:type="spellStart"/>
      <w:r>
        <w:rPr>
          <w:i/>
        </w:rPr>
        <w:t>Cacchiotti</w:t>
      </w:r>
      <w:proofErr w:type="spellEnd"/>
      <w:r>
        <w:t xml:space="preserve">, 172 </w:t>
      </w:r>
      <w:proofErr w:type="spellStart"/>
      <w:r>
        <w:t>Wn</w:t>
      </w:r>
      <w:proofErr w:type="spellEnd"/>
      <w:r>
        <w:t>. 2d 98, (2011).</w:t>
      </w:r>
      <w:proofErr w:type="gramEnd"/>
    </w:p>
  </w:footnote>
  <w:footnote w:id="6">
    <w:p w:rsidR="005775A3" w:rsidRDefault="005775A3">
      <w:pPr>
        <w:pStyle w:val="FootnoteText"/>
      </w:pPr>
      <w:r>
        <w:rPr>
          <w:rStyle w:val="FootnoteReference"/>
        </w:rPr>
        <w:footnoteRef/>
      </w:r>
      <w:r>
        <w:t xml:space="preserve"> </w:t>
      </w:r>
      <w:proofErr w:type="gramStart"/>
      <w:r>
        <w:t>RCW 4.16.350(3).</w:t>
      </w:r>
      <w:proofErr w:type="gramEnd"/>
    </w:p>
  </w:footnote>
  <w:footnote w:id="7">
    <w:p w:rsidR="005775A3" w:rsidRDefault="005775A3">
      <w:pPr>
        <w:pStyle w:val="FootnoteText"/>
      </w:pPr>
      <w:r>
        <w:rPr>
          <w:rStyle w:val="FootnoteReference"/>
        </w:rPr>
        <w:footnoteRef/>
      </w:r>
      <w:r>
        <w:t xml:space="preserve"> </w:t>
      </w:r>
      <w:proofErr w:type="gramStart"/>
      <w:r>
        <w:t>RCW 4.16.350(3).</w:t>
      </w:r>
      <w:proofErr w:type="gramEnd"/>
    </w:p>
  </w:footnote>
  <w:footnote w:id="8">
    <w:p w:rsidR="005775A3" w:rsidRDefault="005775A3">
      <w:pPr>
        <w:pStyle w:val="FootnoteText"/>
      </w:pPr>
      <w:r>
        <w:rPr>
          <w:rStyle w:val="FootnoteReference"/>
        </w:rPr>
        <w:footnoteRef/>
      </w:r>
      <w:r>
        <w:t xml:space="preserve"> </w:t>
      </w:r>
      <w:proofErr w:type="gramStart"/>
      <w:r>
        <w:t>RCW 4.16.350(3).</w:t>
      </w:r>
      <w:proofErr w:type="gramEnd"/>
    </w:p>
  </w:footnote>
  <w:footnote w:id="9">
    <w:p w:rsidR="005775A3" w:rsidRDefault="005775A3">
      <w:pPr>
        <w:pStyle w:val="FootnoteText"/>
      </w:pPr>
      <w:r>
        <w:rPr>
          <w:rStyle w:val="FootnoteReference"/>
        </w:rPr>
        <w:footnoteRef/>
      </w:r>
      <w:r>
        <w:t xml:space="preserve"> </w:t>
      </w:r>
      <w:proofErr w:type="gramStart"/>
      <w:r>
        <w:t>RCW 4.16.190(1).</w:t>
      </w:r>
      <w:proofErr w:type="gramEnd"/>
    </w:p>
  </w:footnote>
  <w:footnote w:id="10">
    <w:p w:rsidR="005775A3" w:rsidRDefault="005775A3">
      <w:pPr>
        <w:pStyle w:val="FootnoteText"/>
      </w:pPr>
      <w:r>
        <w:rPr>
          <w:rStyle w:val="FootnoteReference"/>
        </w:rPr>
        <w:footnoteRef/>
      </w:r>
      <w:r>
        <w:t xml:space="preserve"> </w:t>
      </w:r>
      <w:proofErr w:type="gramStart"/>
      <w:r>
        <w:t>RCW 7.70.110.</w:t>
      </w:r>
      <w:proofErr w:type="gramEnd"/>
    </w:p>
  </w:footnote>
  <w:footnote w:id="11">
    <w:p w:rsidR="005775A3" w:rsidRDefault="005775A3">
      <w:pPr>
        <w:pStyle w:val="FootnoteText"/>
      </w:pPr>
      <w:r>
        <w:rPr>
          <w:rStyle w:val="FootnoteReference"/>
        </w:rPr>
        <w:footnoteRef/>
      </w:r>
      <w:r>
        <w:t xml:space="preserve"> </w:t>
      </w:r>
      <w:proofErr w:type="gramStart"/>
      <w:r>
        <w:t>RCW 4.16.350(3).</w:t>
      </w:r>
      <w:proofErr w:type="gramEnd"/>
    </w:p>
  </w:footnote>
  <w:footnote w:id="12">
    <w:p w:rsidR="005775A3" w:rsidRDefault="005775A3" w:rsidP="00FB0433">
      <w:pPr>
        <w:pStyle w:val="FootnoteText"/>
      </w:pPr>
      <w:r>
        <w:rPr>
          <w:rStyle w:val="FootnoteReference"/>
        </w:rPr>
        <w:footnoteRef/>
      </w:r>
      <w:r>
        <w:t xml:space="preserve"> </w:t>
      </w:r>
      <w:proofErr w:type="gramStart"/>
      <w:r>
        <w:t>RCW 4.16.080(2).</w:t>
      </w:r>
      <w:proofErr w:type="gramEnd"/>
    </w:p>
  </w:footnote>
  <w:footnote w:id="13">
    <w:p w:rsidR="005775A3" w:rsidRPr="00FB0433" w:rsidRDefault="005775A3">
      <w:pPr>
        <w:pStyle w:val="FootnoteText"/>
      </w:pPr>
      <w:r>
        <w:rPr>
          <w:rStyle w:val="FootnoteReference"/>
        </w:rPr>
        <w:footnoteRef/>
      </w:r>
      <w:r>
        <w:t xml:space="preserve"> RCW 4.16.080(2), </w:t>
      </w:r>
      <w:r>
        <w:rPr>
          <w:i/>
        </w:rPr>
        <w:t>Wills v. Kirkpatrick</w:t>
      </w:r>
      <w:r>
        <w:t xml:space="preserve">, 56 </w:t>
      </w:r>
      <w:proofErr w:type="spellStart"/>
      <w:r>
        <w:t>Wn</w:t>
      </w:r>
      <w:proofErr w:type="spellEnd"/>
      <w:r>
        <w:t xml:space="preserve">. App. 757, </w:t>
      </w:r>
      <w:r>
        <w:rPr>
          <w:i/>
        </w:rPr>
        <w:t>cert. denied</w:t>
      </w:r>
      <w:r>
        <w:t xml:space="preserve">. </w:t>
      </w:r>
    </w:p>
  </w:footnote>
  <w:footnote w:id="14">
    <w:p w:rsidR="005775A3" w:rsidRDefault="005775A3">
      <w:pPr>
        <w:pStyle w:val="FootnoteText"/>
      </w:pPr>
      <w:r>
        <w:rPr>
          <w:rStyle w:val="FootnoteReference"/>
        </w:rPr>
        <w:footnoteRef/>
      </w:r>
      <w:r>
        <w:t xml:space="preserve"> RCW 4.16.190(2), </w:t>
      </w:r>
      <w:r>
        <w:rPr>
          <w:i/>
        </w:rPr>
        <w:t xml:space="preserve">Unruh v. </w:t>
      </w:r>
      <w:proofErr w:type="spellStart"/>
      <w:r>
        <w:rPr>
          <w:i/>
        </w:rPr>
        <w:t>Cacchiotti</w:t>
      </w:r>
      <w:proofErr w:type="spellEnd"/>
      <w:r>
        <w:t xml:space="preserve">, 172 </w:t>
      </w:r>
      <w:proofErr w:type="spellStart"/>
      <w:r>
        <w:t>Wn</w:t>
      </w:r>
      <w:proofErr w:type="spellEnd"/>
      <w:r>
        <w:t>. 2d 98, (2011).</w:t>
      </w:r>
    </w:p>
  </w:footnote>
  <w:footnote w:id="15">
    <w:p w:rsidR="005775A3" w:rsidRDefault="005775A3">
      <w:pPr>
        <w:pStyle w:val="FootnoteText"/>
      </w:pPr>
      <w:r>
        <w:rPr>
          <w:rStyle w:val="FootnoteReference"/>
        </w:rPr>
        <w:footnoteRef/>
      </w:r>
      <w:r>
        <w:t xml:space="preserve"> RCW 4.16.350(3</w:t>
      </w:r>
      <w:proofErr w:type="gramStart"/>
      <w:r>
        <w:t>)`</w:t>
      </w:r>
      <w:proofErr w:type="gramEnd"/>
      <w:r>
        <w:t>.</w:t>
      </w:r>
    </w:p>
  </w:footnote>
  <w:footnote w:id="16">
    <w:p w:rsidR="005775A3" w:rsidRDefault="005775A3">
      <w:pPr>
        <w:pStyle w:val="FootnoteText"/>
      </w:pPr>
      <w:r>
        <w:rPr>
          <w:rStyle w:val="FootnoteReference"/>
        </w:rPr>
        <w:footnoteRef/>
      </w:r>
      <w:r>
        <w:t xml:space="preserve"> </w:t>
      </w:r>
      <w:proofErr w:type="gramStart"/>
      <w:r>
        <w:t>RCW 4.16.350(3).</w:t>
      </w:r>
      <w:proofErr w:type="gramEnd"/>
    </w:p>
  </w:footnote>
  <w:footnote w:id="17">
    <w:p w:rsidR="005775A3" w:rsidRDefault="005775A3">
      <w:pPr>
        <w:pStyle w:val="FootnoteText"/>
      </w:pPr>
      <w:r>
        <w:rPr>
          <w:rStyle w:val="FootnoteReference"/>
        </w:rPr>
        <w:footnoteRef/>
      </w:r>
      <w:r>
        <w:t xml:space="preserve"> </w:t>
      </w:r>
      <w:proofErr w:type="gramStart"/>
      <w:r>
        <w:t>RCW 4.16.350(3).</w:t>
      </w:r>
      <w:proofErr w:type="gramEnd"/>
    </w:p>
  </w:footnote>
  <w:footnote w:id="18">
    <w:p w:rsidR="005775A3" w:rsidRDefault="005775A3">
      <w:pPr>
        <w:pStyle w:val="FootnoteText"/>
      </w:pPr>
      <w:r>
        <w:rPr>
          <w:rStyle w:val="FootnoteReference"/>
        </w:rPr>
        <w:footnoteRef/>
      </w:r>
      <w:r>
        <w:t xml:space="preserve"> </w:t>
      </w:r>
      <w:proofErr w:type="gramStart"/>
      <w:r>
        <w:t>RCW 4.16.190(1).</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D3707A"/>
    <w:multiLevelType w:val="hybridMultilevel"/>
    <w:tmpl w:val="6C06865A"/>
    <w:lvl w:ilvl="0" w:tplc="2C342B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425D88"/>
    <w:rsid w:val="0002152B"/>
    <w:rsid w:val="00050EE4"/>
    <w:rsid w:val="00064F15"/>
    <w:rsid w:val="000D4519"/>
    <w:rsid w:val="001335C9"/>
    <w:rsid w:val="001475F0"/>
    <w:rsid w:val="00205E33"/>
    <w:rsid w:val="002573E6"/>
    <w:rsid w:val="002F3A57"/>
    <w:rsid w:val="00422868"/>
    <w:rsid w:val="00425D88"/>
    <w:rsid w:val="00494BA1"/>
    <w:rsid w:val="004F1B48"/>
    <w:rsid w:val="0053574F"/>
    <w:rsid w:val="005775A3"/>
    <w:rsid w:val="00634DB8"/>
    <w:rsid w:val="00716B6E"/>
    <w:rsid w:val="00751593"/>
    <w:rsid w:val="007739F4"/>
    <w:rsid w:val="007D2E23"/>
    <w:rsid w:val="008D74BE"/>
    <w:rsid w:val="00B9741B"/>
    <w:rsid w:val="00BC4889"/>
    <w:rsid w:val="00D924E3"/>
    <w:rsid w:val="00F30A76"/>
    <w:rsid w:val="00FB04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D88"/>
    <w:pPr>
      <w:spacing w:after="0" w:line="240" w:lineRule="auto"/>
      <w:jc w:val="both"/>
    </w:pPr>
    <w:rPr>
      <w:rFonts w:eastAsia="Times New Roman"/>
    </w:rPr>
  </w:style>
  <w:style w:type="paragraph" w:styleId="Heading1">
    <w:name w:val="heading 1"/>
    <w:basedOn w:val="Normal"/>
    <w:next w:val="Normal"/>
    <w:link w:val="Heading1Char"/>
    <w:qFormat/>
    <w:rsid w:val="00425D88"/>
    <w:pPr>
      <w:keepNext/>
      <w:keepLines/>
      <w:widowControl w:val="0"/>
      <w:jc w:val="center"/>
      <w:outlineLvl w:val="0"/>
    </w:pPr>
    <w:rPr>
      <w:b/>
      <w:kern w:val="28"/>
    </w:rPr>
  </w:style>
  <w:style w:type="paragraph" w:styleId="Heading2">
    <w:name w:val="heading 2"/>
    <w:basedOn w:val="Normal"/>
    <w:next w:val="Normal"/>
    <w:link w:val="Heading2Char"/>
    <w:qFormat/>
    <w:rsid w:val="00425D88"/>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5D88"/>
    <w:rPr>
      <w:rFonts w:eastAsia="Times New Roman"/>
      <w:b/>
      <w:kern w:val="28"/>
    </w:rPr>
  </w:style>
  <w:style w:type="character" w:customStyle="1" w:styleId="Heading2Char">
    <w:name w:val="Heading 2 Char"/>
    <w:basedOn w:val="DefaultParagraphFont"/>
    <w:link w:val="Heading2"/>
    <w:rsid w:val="00425D88"/>
    <w:rPr>
      <w:rFonts w:eastAsia="Times New Roman"/>
      <w:b/>
    </w:rPr>
  </w:style>
  <w:style w:type="paragraph" w:styleId="ListBullet">
    <w:name w:val="List Bullet"/>
    <w:basedOn w:val="Normal"/>
    <w:next w:val="Normal"/>
    <w:autoRedefine/>
    <w:semiHidden/>
    <w:rsid w:val="00425D88"/>
    <w:pPr>
      <w:numPr>
        <w:numId w:val="1"/>
      </w:numPr>
    </w:pPr>
  </w:style>
  <w:style w:type="paragraph" w:styleId="FootnoteText">
    <w:name w:val="footnote text"/>
    <w:basedOn w:val="Normal"/>
    <w:link w:val="FootnoteTextChar"/>
    <w:uiPriority w:val="99"/>
    <w:semiHidden/>
    <w:unhideWhenUsed/>
    <w:rsid w:val="00422868"/>
    <w:rPr>
      <w:sz w:val="20"/>
    </w:rPr>
  </w:style>
  <w:style w:type="character" w:customStyle="1" w:styleId="FootnoteTextChar">
    <w:name w:val="Footnote Text Char"/>
    <w:basedOn w:val="DefaultParagraphFont"/>
    <w:link w:val="FootnoteText"/>
    <w:uiPriority w:val="99"/>
    <w:semiHidden/>
    <w:rsid w:val="00422868"/>
    <w:rPr>
      <w:rFonts w:eastAsia="Times New Roman"/>
      <w:sz w:val="20"/>
    </w:rPr>
  </w:style>
  <w:style w:type="character" w:styleId="FootnoteReference">
    <w:name w:val="footnote reference"/>
    <w:basedOn w:val="DefaultParagraphFont"/>
    <w:uiPriority w:val="99"/>
    <w:semiHidden/>
    <w:unhideWhenUsed/>
    <w:rsid w:val="00422868"/>
    <w:rPr>
      <w:vertAlign w:val="superscript"/>
    </w:rPr>
  </w:style>
  <w:style w:type="paragraph" w:styleId="ListParagraph">
    <w:name w:val="List Paragraph"/>
    <w:basedOn w:val="Normal"/>
    <w:uiPriority w:val="34"/>
    <w:qFormat/>
    <w:rsid w:val="0002152B"/>
    <w:pPr>
      <w:ind w:left="720"/>
      <w:contextualSpacing/>
    </w:pPr>
  </w:style>
  <w:style w:type="paragraph" w:styleId="BalloonText">
    <w:name w:val="Balloon Text"/>
    <w:basedOn w:val="Normal"/>
    <w:link w:val="BalloonTextChar"/>
    <w:uiPriority w:val="99"/>
    <w:semiHidden/>
    <w:unhideWhenUsed/>
    <w:rsid w:val="00716B6E"/>
    <w:rPr>
      <w:rFonts w:ascii="Tahoma" w:hAnsi="Tahoma" w:cs="Tahoma"/>
      <w:sz w:val="16"/>
      <w:szCs w:val="16"/>
    </w:rPr>
  </w:style>
  <w:style w:type="character" w:customStyle="1" w:styleId="BalloonTextChar">
    <w:name w:val="Balloon Text Char"/>
    <w:basedOn w:val="DefaultParagraphFont"/>
    <w:link w:val="BalloonText"/>
    <w:uiPriority w:val="99"/>
    <w:semiHidden/>
    <w:rsid w:val="00716B6E"/>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739C5F-DCF6-4A07-8B0D-ABE94F2EB04B}"/>
</file>

<file path=customXml/itemProps2.xml><?xml version="1.0" encoding="utf-8"?>
<ds:datastoreItem xmlns:ds="http://schemas.openxmlformats.org/officeDocument/2006/customXml" ds:itemID="{108F1312-43C7-4F08-8A52-74E061C8CE73}"/>
</file>

<file path=customXml/itemProps3.xml><?xml version="1.0" encoding="utf-8"?>
<ds:datastoreItem xmlns:ds="http://schemas.openxmlformats.org/officeDocument/2006/customXml" ds:itemID="{A997CF36-03FD-4BA0-9C6E-4507D0A1C183}"/>
</file>

<file path=docProps/app.xml><?xml version="1.0" encoding="utf-8"?>
<Properties xmlns="http://schemas.openxmlformats.org/officeDocument/2006/extended-properties" xmlns:vt="http://schemas.openxmlformats.org/officeDocument/2006/docPropsVTypes">
  <Template>Normal.dotm</Template>
  <TotalTime>11</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2012-12-05T22:20:00Z</dcterms:created>
  <dcterms:modified xsi:type="dcterms:W3CDTF">2012-12-05T22:36:00Z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