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397" w:rsidRDefault="00B57397" w:rsidP="00B57397">
      <w:pPr>
        <w:jc w:val="center"/>
        <w:rPr>
          <w:b/>
          <w:bCs/>
        </w:rPr>
      </w:pPr>
      <w:bookmarkStart w:id="0" w:name="_Toc161565698"/>
      <w:r>
        <w:rPr>
          <w:b/>
          <w:bCs/>
        </w:rPr>
        <w:t>NATIONAL PRACTITIONER DATA BANK</w:t>
      </w:r>
      <w:bookmarkEnd w:id="0"/>
    </w:p>
    <w:p w:rsidR="00B57397" w:rsidRDefault="00B57397" w:rsidP="00B57397">
      <w:pPr>
        <w:keepNext/>
        <w:keepLines/>
        <w:widowControl w:val="0"/>
        <w:rPr>
          <w:b/>
          <w:bCs/>
        </w:rPr>
      </w:pPr>
    </w:p>
    <w:p w:rsidR="00B57397" w:rsidRDefault="00B57397" w:rsidP="00B57397">
      <w:pPr>
        <w:keepNext/>
        <w:keepLines/>
        <w:widowControl w:val="0"/>
      </w:pPr>
    </w:p>
    <w:p w:rsidR="00A9707B" w:rsidRDefault="00A9707B" w:rsidP="00F600E5">
      <w:pPr>
        <w:pStyle w:val="NormalWeb"/>
      </w:pPr>
      <w:r>
        <w:t xml:space="preserve">NOTE: </w:t>
      </w:r>
      <w:r w:rsidR="00CA2D34" w:rsidRPr="00CA2D34">
        <w:t xml:space="preserve">The U.S. Department of Health and Human Services has merged the </w:t>
      </w:r>
      <w:r w:rsidR="001E4925" w:rsidRPr="000D3682">
        <w:t>Healthcare Integrity and Protections Data Bank (HIPDB) into the National Practitioner Data Bank (NPDB).</w:t>
      </w:r>
      <w:r w:rsidR="000D3682">
        <w:rPr>
          <w:rStyle w:val="FootnoteReference"/>
        </w:rPr>
        <w:footnoteReference w:id="1"/>
      </w:r>
      <w:r w:rsidR="00CA2D34" w:rsidRPr="00CA2D34">
        <w:t xml:space="preserve"> More informat</w:t>
      </w:r>
      <w:r w:rsidR="003C67FB">
        <w:t xml:space="preserve">ion about the new combined </w:t>
      </w:r>
      <w:r w:rsidR="00CE22C8">
        <w:t xml:space="preserve">entity </w:t>
      </w:r>
      <w:r w:rsidR="00CA2D34" w:rsidRPr="00CA2D34">
        <w:t xml:space="preserve">(called simply, “the Data Bank”) is available at </w:t>
      </w:r>
      <w:hyperlink r:id="rId8" w:history="1">
        <w:r w:rsidR="00CA2D34" w:rsidRPr="00CA2D34">
          <w:rPr>
            <w:rStyle w:val="Hyperlink"/>
          </w:rPr>
          <w:t>www.npdb.hrsa.gov</w:t>
        </w:r>
      </w:hyperlink>
      <w:r w:rsidR="001E4925">
        <w:rPr>
          <w:b/>
        </w:rPr>
        <w:t>.</w:t>
      </w:r>
      <w:r w:rsidR="001E4925">
        <w:t xml:space="preserve"> </w:t>
      </w:r>
    </w:p>
    <w:p w:rsidR="00B57397" w:rsidRDefault="00B57397" w:rsidP="00B57397">
      <w:pPr>
        <w:pStyle w:val="Heading2"/>
      </w:pPr>
      <w:r>
        <w:t>What is the</w:t>
      </w:r>
      <w:r w:rsidR="001E4925">
        <w:t xml:space="preserve"> </w:t>
      </w:r>
      <w:r w:rsidR="003C67FB">
        <w:t>Data B</w:t>
      </w:r>
      <w:r w:rsidR="001E4925">
        <w:t>ank?</w:t>
      </w:r>
      <w:r>
        <w:t xml:space="preserve"> </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The</w:t>
      </w:r>
      <w:r w:rsidR="001E4925">
        <w:t xml:space="preserve"> </w:t>
      </w:r>
      <w:r w:rsidR="003C67FB">
        <w:t>Data B</w:t>
      </w:r>
      <w:r w:rsidR="001E4925">
        <w:t>ank</w:t>
      </w:r>
      <w:r>
        <w:t xml:space="preserve"> is a national, computerized information source which tracks the following information:</w:t>
      </w:r>
      <w:r w:rsidR="001E4925" w:rsidRPr="001E4925">
        <w:rPr>
          <w:rStyle w:val="FootnoteReference"/>
        </w:rPr>
        <w:t xml:space="preserve"> </w:t>
      </w:r>
      <w:r w:rsidR="001E4925">
        <w:rPr>
          <w:rStyle w:val="FootnoteReference"/>
        </w:rPr>
        <w:footnoteReference w:id="2"/>
      </w:r>
    </w:p>
    <w:p w:rsidR="00B57397" w:rsidRDefault="00B57397" w:rsidP="00B57397">
      <w:pPr>
        <w:tabs>
          <w:tab w:val="left" w:pos="-1440"/>
          <w:tab w:val="left" w:pos="-720"/>
        </w:tabs>
        <w:suppressAutoHyphens/>
      </w:pPr>
    </w:p>
    <w:p w:rsidR="00B57397" w:rsidRDefault="00B57397" w:rsidP="001E4925">
      <w:pPr>
        <w:pStyle w:val="ListBullet"/>
      </w:pPr>
      <w:r>
        <w:t>Payments made as a result of medical malpractice actions or claims.</w:t>
      </w:r>
    </w:p>
    <w:p w:rsidR="00B57397" w:rsidRDefault="00B57397" w:rsidP="00B57397">
      <w:pPr>
        <w:tabs>
          <w:tab w:val="left" w:pos="-1440"/>
          <w:tab w:val="left" w:pos="-720"/>
        </w:tabs>
        <w:suppressAutoHyphens/>
      </w:pPr>
    </w:p>
    <w:p w:rsidR="00B57397" w:rsidRDefault="00B57397" w:rsidP="001E4925">
      <w:pPr>
        <w:pStyle w:val="ListBullet"/>
      </w:pPr>
      <w:r>
        <w:t>Adverse licensure actions taken by state licensing boards.</w:t>
      </w:r>
    </w:p>
    <w:p w:rsidR="00B57397" w:rsidRDefault="00B57397" w:rsidP="00B57397">
      <w:pPr>
        <w:tabs>
          <w:tab w:val="left" w:pos="-1440"/>
          <w:tab w:val="left" w:pos="-720"/>
        </w:tabs>
        <w:suppressAutoHyphens/>
      </w:pPr>
    </w:p>
    <w:p w:rsidR="00B57397" w:rsidRDefault="00B57397" w:rsidP="001E4925">
      <w:pPr>
        <w:pStyle w:val="ListBullet"/>
      </w:pPr>
      <w:r>
        <w:t>Adverse actions on clinical privileges taken by hospitals, other health care entities and professional society membership actions.</w:t>
      </w:r>
    </w:p>
    <w:p w:rsidR="00F600E5" w:rsidRDefault="00F600E5" w:rsidP="00F600E5"/>
    <w:p w:rsidR="00F600E5" w:rsidRDefault="003C0086" w:rsidP="00F600E5">
      <w:pPr>
        <w:ind w:firstLine="360"/>
      </w:pPr>
      <w:r>
        <w:t xml:space="preserve">Congress recently enacted legislation that merged two previously </w:t>
      </w:r>
      <w:r w:rsidR="004F4C51">
        <w:t>maintained</w:t>
      </w:r>
      <w:r>
        <w:t xml:space="preserve"> data banks into a single entity; now the Healthcare Integrity and Protection Data Bank (HIPBD) and the National Practitioner Data Bank </w:t>
      </w:r>
      <w:r w:rsidR="004F4C51">
        <w:t xml:space="preserve">(NIPDB) </w:t>
      </w:r>
      <w:r>
        <w:t>have been combined into a single entity called “the Data Bank.”</w:t>
      </w:r>
      <w:r w:rsidR="001E4925">
        <w:rPr>
          <w:rStyle w:val="FootnoteReference"/>
        </w:rPr>
        <w:footnoteReference w:id="3"/>
      </w:r>
      <w:r w:rsidR="001E4925">
        <w:t xml:space="preserve"> </w:t>
      </w:r>
      <w:r w:rsidR="00E94827">
        <w:t xml:space="preserve"> Under certain circumstances, various private and public entit</w:t>
      </w:r>
      <w:r w:rsidR="00DD3D39">
        <w:t>i</w:t>
      </w:r>
      <w:r w:rsidR="00E94827">
        <w:t>es are required to report health care related information to this new combined Data Bank.</w:t>
      </w:r>
      <w:r w:rsidR="00E94827">
        <w:rPr>
          <w:rStyle w:val="FootnoteReference"/>
        </w:rPr>
        <w:footnoteReference w:id="4"/>
      </w:r>
      <w:r w:rsidR="00DD3D39">
        <w:t xml:space="preserve"> </w:t>
      </w:r>
    </w:p>
    <w:p w:rsidR="00254692" w:rsidRDefault="00254692" w:rsidP="00F600E5"/>
    <w:p w:rsidR="00CA53D9" w:rsidRDefault="00CA53D9" w:rsidP="00254692">
      <w:r>
        <w:rPr>
          <w:b/>
        </w:rPr>
        <w:t>What is new now that the NPDB has merged with the HIPDB?</w:t>
      </w:r>
    </w:p>
    <w:p w:rsidR="00CA53D9" w:rsidRDefault="0014133F" w:rsidP="00F600E5">
      <w:pPr>
        <w:pStyle w:val="NormalWeb"/>
        <w:ind w:firstLine="360"/>
      </w:pPr>
      <w:r>
        <w:t>Now that the NPDB and HIPDB are one data bank, users’ query results will be more inclusive than before, but there has been no change to the reporting requirements.</w:t>
      </w:r>
      <w:r w:rsidR="00D858DD" w:rsidRPr="00D858DD">
        <w:rPr>
          <w:rStyle w:val="FootnoteReference"/>
        </w:rPr>
        <w:t xml:space="preserve"> </w:t>
      </w:r>
      <w:r w:rsidR="00D858DD">
        <w:rPr>
          <w:rStyle w:val="FootnoteReference"/>
        </w:rPr>
        <w:footnoteReference w:id="5"/>
      </w:r>
      <w:r w:rsidR="00CA53D9">
        <w:t xml:space="preserve"> The Data Bank’s website lists the changes that each user group may experience:</w:t>
      </w:r>
      <w:r w:rsidR="00CA53D9">
        <w:rPr>
          <w:rStyle w:val="FootnoteReference"/>
        </w:rPr>
        <w:footnoteReference w:id="6"/>
      </w:r>
    </w:p>
    <w:p w:rsidR="00CA53D9" w:rsidRDefault="00CA53D9" w:rsidP="00CA53D9">
      <w:pPr>
        <w:numPr>
          <w:ilvl w:val="0"/>
          <w:numId w:val="14"/>
        </w:numPr>
        <w:spacing w:before="100" w:beforeAutospacing="1" w:after="100" w:afterAutospacing="1"/>
        <w:jc w:val="left"/>
      </w:pPr>
      <w:r>
        <w:rPr>
          <w:b/>
          <w:bCs/>
        </w:rPr>
        <w:t xml:space="preserve">All </w:t>
      </w:r>
      <w:proofErr w:type="spellStart"/>
      <w:r>
        <w:rPr>
          <w:b/>
          <w:bCs/>
        </w:rPr>
        <w:t>Queriers</w:t>
      </w:r>
      <w:proofErr w:type="spellEnd"/>
      <w:r>
        <w:t xml:space="preserve">: Information previously collected and disclosed through the HIPDB will be collected and disclosed through the NPDB. Users may see Federal and health plan actions/decisions in their query results that they were not able to receive before because they were only available through querying the HIPDB. </w:t>
      </w:r>
    </w:p>
    <w:p w:rsidR="00CA53D9" w:rsidRDefault="00CA53D9" w:rsidP="00CA53D9">
      <w:pPr>
        <w:numPr>
          <w:ilvl w:val="0"/>
          <w:numId w:val="14"/>
        </w:numPr>
        <w:spacing w:before="100" w:beforeAutospacing="1" w:after="100" w:afterAutospacing="1"/>
        <w:jc w:val="left"/>
      </w:pPr>
      <w:r>
        <w:rPr>
          <w:b/>
          <w:bCs/>
        </w:rPr>
        <w:lastRenderedPageBreak/>
        <w:t>Continuous Query Users</w:t>
      </w:r>
      <w:r>
        <w:t xml:space="preserve">: Users may receive notifications for reports (specifically, Federal Government agency and health plan actions/decisions) that were previously unavailable to them. </w:t>
      </w:r>
    </w:p>
    <w:p w:rsidR="00CA53D9" w:rsidRDefault="00CA53D9" w:rsidP="00CA53D9">
      <w:pPr>
        <w:numPr>
          <w:ilvl w:val="0"/>
          <w:numId w:val="14"/>
        </w:numPr>
        <w:spacing w:before="100" w:beforeAutospacing="1" w:after="100" w:afterAutospacing="1"/>
        <w:jc w:val="left"/>
      </w:pPr>
      <w:r>
        <w:rPr>
          <w:b/>
          <w:bCs/>
        </w:rPr>
        <w:t>ITP and QRXS Users</w:t>
      </w:r>
      <w:r>
        <w:t xml:space="preserve">: There are </w:t>
      </w:r>
      <w:hyperlink r:id="rId9" w:history="1">
        <w:r>
          <w:rPr>
            <w:rStyle w:val="Hyperlink"/>
          </w:rPr>
          <w:t>new codes</w:t>
        </w:r>
      </w:hyperlink>
      <w:r>
        <w:t xml:space="preserve"> for reporting government administrative actions. </w:t>
      </w:r>
    </w:p>
    <w:p w:rsidR="00CA53D9" w:rsidRPr="00CA53D9" w:rsidRDefault="00D858DD" w:rsidP="00CA53D9">
      <w:r>
        <w:rPr>
          <w:bCs/>
        </w:rPr>
        <w:t xml:space="preserve">Reporting requirements have not changed in any substantial way. The three statutes that require reporting have all remained in effect, though slightly modified, and the merger simply combines all the reported information into a single data bank. </w:t>
      </w:r>
    </w:p>
    <w:p w:rsidR="00CA53D9" w:rsidRDefault="00CA53D9" w:rsidP="00254692">
      <w:pPr>
        <w:rPr>
          <w:b/>
        </w:rPr>
      </w:pPr>
    </w:p>
    <w:p w:rsidR="00254692" w:rsidRDefault="00B0754E" w:rsidP="00254692">
      <w:pPr>
        <w:rPr>
          <w:b/>
        </w:rPr>
      </w:pPr>
      <w:r>
        <w:rPr>
          <w:b/>
        </w:rPr>
        <w:t xml:space="preserve">What entities are subject to the reporting requirements for the </w:t>
      </w:r>
      <w:r w:rsidR="008D685D">
        <w:rPr>
          <w:b/>
        </w:rPr>
        <w:t>Data Bank</w:t>
      </w:r>
      <w:r>
        <w:rPr>
          <w:b/>
        </w:rPr>
        <w:t>?</w:t>
      </w:r>
    </w:p>
    <w:p w:rsidR="00254692" w:rsidRDefault="00254692" w:rsidP="00254692">
      <w:pPr>
        <w:rPr>
          <w:b/>
        </w:rPr>
      </w:pPr>
    </w:p>
    <w:p w:rsidR="00254692" w:rsidRPr="00D77198" w:rsidRDefault="00B0754E" w:rsidP="00254692">
      <w:pPr>
        <w:rPr>
          <w:szCs w:val="24"/>
        </w:rPr>
      </w:pPr>
      <w:r>
        <w:tab/>
        <w:t>The reporting requirements</w:t>
      </w:r>
      <w:del w:id="19" w:author="Tierney Edwards" w:date="2013-08-27T08:54:00Z">
        <w:r w:rsidR="00FC1368" w:rsidDel="00165F08">
          <w:rPr>
            <w:rStyle w:val="FootnoteReference"/>
          </w:rPr>
          <w:footnoteReference w:id="7"/>
        </w:r>
      </w:del>
      <w:r>
        <w:t xml:space="preserve"> for the </w:t>
      </w:r>
      <w:r w:rsidR="008D685D">
        <w:t xml:space="preserve">Data Bank </w:t>
      </w:r>
      <w:r>
        <w:t>apply to</w:t>
      </w:r>
      <w:ins w:id="25" w:author="Tierney Edwards" w:date="2013-08-27T09:15:00Z">
        <w:r w:rsidR="00D77198">
          <w:t>:</w:t>
        </w:r>
        <w:r w:rsidR="00D77198">
          <w:rPr>
            <w:rStyle w:val="FootnoteReference"/>
          </w:rPr>
          <w:footnoteReference w:id="8"/>
        </w:r>
      </w:ins>
      <w:ins w:id="32" w:author="Tierney Edwards" w:date="2013-08-27T09:09:00Z">
        <w:r w:rsidR="00D77198">
          <w:t xml:space="preserve"> </w:t>
        </w:r>
      </w:ins>
      <w:del w:id="33" w:author="Tierney Edwards" w:date="2013-08-27T09:10:00Z">
        <w:r w:rsidDel="00D77198">
          <w:delText>:</w:delText>
        </w:r>
      </w:del>
      <w:del w:id="34" w:author="Tierney Edwards" w:date="2013-08-27T09:11:00Z">
        <w:r w:rsidR="00FC1368" w:rsidDel="00D77198">
          <w:rPr>
            <w:rStyle w:val="CommentReference"/>
          </w:rPr>
          <w:delText xml:space="preserve"> </w:delText>
        </w:r>
      </w:del>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Hospitals and other health care entities</w:t>
      </w:r>
      <w:del w:id="35" w:author="Tierney Edwards" w:date="2013-08-27T09:28:00Z">
        <w:r w:rsidRPr="00FC1368" w:rsidDel="006940C4">
          <w:rPr>
            <w:snapToGrid/>
            <w:szCs w:val="24"/>
          </w:rPr>
          <w:delText xml:space="preserve"> that follow a formal peer review process</w:delText>
        </w:r>
      </w:del>
      <w:r>
        <w:rPr>
          <w:snapToGrid/>
          <w:szCs w:val="24"/>
        </w:rPr>
        <w:t>;</w:t>
      </w:r>
      <w:ins w:id="36" w:author="Tierney Edwards" w:date="2013-08-27T09:29:00Z">
        <w:r w:rsidR="006940C4">
          <w:rPr>
            <w:rStyle w:val="FootnoteReference"/>
            <w:snapToGrid/>
            <w:szCs w:val="24"/>
          </w:rPr>
          <w:footnoteReference w:id="9"/>
        </w:r>
      </w:ins>
      <w:r w:rsidRPr="00FC1368">
        <w:rPr>
          <w:snapToGrid/>
          <w:szCs w:val="24"/>
        </w:rPr>
        <w:t xml:space="preserve"> </w:t>
      </w:r>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 xml:space="preserve">Medical malpractice payers (including hospitals and other health care </w:t>
      </w:r>
      <w:r>
        <w:rPr>
          <w:snapToGrid/>
          <w:szCs w:val="24"/>
        </w:rPr>
        <w:t>entities that are self-insured);</w:t>
      </w:r>
      <w:ins w:id="39" w:author="Tierney Edwards" w:date="2013-08-27T09:28:00Z">
        <w:r w:rsidR="006940C4">
          <w:rPr>
            <w:rStyle w:val="FootnoteReference"/>
            <w:snapToGrid/>
            <w:szCs w:val="24"/>
          </w:rPr>
          <w:footnoteReference w:id="10"/>
        </w:r>
      </w:ins>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Professional societies that follow a formal peer review process</w:t>
      </w:r>
      <w:r>
        <w:rPr>
          <w:snapToGrid/>
          <w:szCs w:val="24"/>
        </w:rPr>
        <w:t>;</w:t>
      </w:r>
      <w:ins w:id="42" w:author="Tierney Edwards" w:date="2013-08-27T09:29:00Z">
        <w:r w:rsidR="006940C4">
          <w:rPr>
            <w:rStyle w:val="FootnoteReference"/>
            <w:snapToGrid/>
            <w:szCs w:val="24"/>
          </w:rPr>
          <w:footnoteReference w:id="11"/>
        </w:r>
      </w:ins>
      <w:r w:rsidRPr="00FC1368">
        <w:rPr>
          <w:snapToGrid/>
          <w:szCs w:val="24"/>
        </w:rPr>
        <w:t xml:space="preserve"> </w:t>
      </w:r>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State Licensing and Certification Authorities (including State Medical and Dental Boards)</w:t>
      </w:r>
      <w:r>
        <w:rPr>
          <w:snapToGrid/>
          <w:szCs w:val="24"/>
        </w:rPr>
        <w:t>;</w:t>
      </w:r>
      <w:r w:rsidRPr="00FC1368">
        <w:rPr>
          <w:snapToGrid/>
          <w:szCs w:val="24"/>
        </w:rPr>
        <w:t xml:space="preserve"> </w:t>
      </w:r>
      <w:ins w:id="45" w:author="Tierney Edwards" w:date="2013-08-27T09:28:00Z">
        <w:r w:rsidR="006940C4">
          <w:rPr>
            <w:rStyle w:val="FootnoteReference"/>
            <w:snapToGrid/>
            <w:szCs w:val="24"/>
          </w:rPr>
          <w:footnoteReference w:id="12"/>
        </w:r>
      </w:ins>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Private accreditation organizations</w:t>
      </w:r>
      <w:r>
        <w:rPr>
          <w:snapToGrid/>
          <w:szCs w:val="24"/>
        </w:rPr>
        <w:t>;</w:t>
      </w:r>
      <w:r w:rsidRPr="00FC1368">
        <w:rPr>
          <w:snapToGrid/>
          <w:szCs w:val="24"/>
        </w:rPr>
        <w:t xml:space="preserve"> </w:t>
      </w:r>
      <w:ins w:id="48" w:author="Tierney Edwards" w:date="2013-08-27T09:30:00Z">
        <w:r w:rsidR="00891514">
          <w:rPr>
            <w:rStyle w:val="FootnoteReference"/>
            <w:snapToGrid/>
            <w:szCs w:val="24"/>
          </w:rPr>
          <w:footnoteReference w:id="13"/>
        </w:r>
      </w:ins>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Peer review organizations</w:t>
      </w:r>
      <w:r>
        <w:rPr>
          <w:snapToGrid/>
          <w:szCs w:val="24"/>
        </w:rPr>
        <w:t>;</w:t>
      </w:r>
      <w:r w:rsidRPr="00FC1368">
        <w:rPr>
          <w:snapToGrid/>
          <w:szCs w:val="24"/>
        </w:rPr>
        <w:t xml:space="preserve"> </w:t>
      </w:r>
      <w:ins w:id="50" w:author="Tierney Edwards" w:date="2013-08-27T09:30:00Z">
        <w:r w:rsidR="006940C4">
          <w:rPr>
            <w:rStyle w:val="FootnoteReference"/>
            <w:snapToGrid/>
            <w:szCs w:val="24"/>
          </w:rPr>
          <w:footnoteReference w:id="14"/>
        </w:r>
      </w:ins>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State law enforcement agencies</w:t>
      </w:r>
      <w:r>
        <w:rPr>
          <w:snapToGrid/>
          <w:szCs w:val="24"/>
        </w:rPr>
        <w:t>;</w:t>
      </w:r>
      <w:ins w:id="54" w:author="Tierney Edwards" w:date="2013-08-27T09:31:00Z">
        <w:r w:rsidR="00891514">
          <w:rPr>
            <w:rStyle w:val="FootnoteReference"/>
            <w:snapToGrid/>
            <w:szCs w:val="24"/>
          </w:rPr>
          <w:footnoteReference w:id="15"/>
        </w:r>
      </w:ins>
      <w:r w:rsidRPr="00FC1368">
        <w:rPr>
          <w:snapToGrid/>
          <w:szCs w:val="24"/>
        </w:rPr>
        <w:t xml:space="preserve">* </w:t>
      </w:r>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State Medicaid Fraud Control Units</w:t>
      </w:r>
      <w:r>
        <w:rPr>
          <w:snapToGrid/>
          <w:szCs w:val="24"/>
        </w:rPr>
        <w:t>;</w:t>
      </w:r>
      <w:ins w:id="57" w:author="Tierney Edwards" w:date="2013-08-27T09:31:00Z">
        <w:r w:rsidR="00891514">
          <w:rPr>
            <w:rStyle w:val="FootnoteReference"/>
            <w:snapToGrid/>
            <w:szCs w:val="24"/>
          </w:rPr>
          <w:footnoteReference w:id="16"/>
        </w:r>
      </w:ins>
      <w:r w:rsidRPr="00FC1368">
        <w:rPr>
          <w:snapToGrid/>
          <w:szCs w:val="24"/>
        </w:rPr>
        <w:t xml:space="preserve">* </w:t>
      </w:r>
    </w:p>
    <w:p w:rsidR="006940C4" w:rsidRDefault="00FC1368" w:rsidP="006940C4">
      <w:pPr>
        <w:numPr>
          <w:ilvl w:val="0"/>
          <w:numId w:val="15"/>
        </w:numPr>
        <w:spacing w:before="100" w:beforeAutospacing="1" w:after="100" w:afterAutospacing="1"/>
        <w:jc w:val="left"/>
        <w:rPr>
          <w:ins w:id="60" w:author="Tierney Edwards" w:date="2013-08-27T09:22:00Z"/>
          <w:snapToGrid/>
          <w:szCs w:val="24"/>
        </w:rPr>
      </w:pPr>
      <w:r w:rsidRPr="00FC1368">
        <w:rPr>
          <w:snapToGrid/>
          <w:szCs w:val="24"/>
        </w:rPr>
        <w:t>State agencies administering or supervising the administration of a state health care program</w:t>
      </w:r>
      <w:r>
        <w:rPr>
          <w:snapToGrid/>
          <w:szCs w:val="24"/>
        </w:rPr>
        <w:t>;</w:t>
      </w:r>
      <w:r w:rsidRPr="00FC1368">
        <w:rPr>
          <w:snapToGrid/>
          <w:szCs w:val="24"/>
        </w:rPr>
        <w:t xml:space="preserve">* </w:t>
      </w:r>
    </w:p>
    <w:p w:rsidR="006940C4" w:rsidRPr="006940C4" w:rsidRDefault="006940C4" w:rsidP="006940C4">
      <w:pPr>
        <w:numPr>
          <w:ilvl w:val="0"/>
          <w:numId w:val="15"/>
        </w:numPr>
        <w:spacing w:before="100" w:beforeAutospacing="1" w:after="100" w:afterAutospacing="1"/>
        <w:jc w:val="left"/>
        <w:rPr>
          <w:snapToGrid/>
          <w:szCs w:val="24"/>
        </w:rPr>
      </w:pPr>
      <w:ins w:id="61" w:author="Tierney Edwards" w:date="2013-08-27T09:22:00Z">
        <w:r>
          <w:rPr>
            <w:snapToGrid/>
            <w:szCs w:val="24"/>
          </w:rPr>
          <w:t>State authorities that license or certify practitioners, entities, providers, or suppliers;</w:t>
        </w:r>
      </w:ins>
      <w:ins w:id="62" w:author="Tierney Edwards" w:date="2013-08-27T09:26:00Z">
        <w:r>
          <w:rPr>
            <w:rStyle w:val="FootnoteReference"/>
            <w:snapToGrid/>
            <w:szCs w:val="24"/>
          </w:rPr>
          <w:footnoteReference w:id="17"/>
        </w:r>
      </w:ins>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Federal government agencies</w:t>
      </w:r>
      <w:ins w:id="65" w:author="Tierney Edwards" w:date="2013-08-27T09:31:00Z">
        <w:r w:rsidR="00891514">
          <w:rPr>
            <w:rStyle w:val="FootnoteReference"/>
            <w:snapToGrid/>
            <w:szCs w:val="24"/>
          </w:rPr>
          <w:footnoteReference w:id="18"/>
        </w:r>
      </w:ins>
      <w:r w:rsidRPr="00FC1368">
        <w:rPr>
          <w:snapToGrid/>
          <w:szCs w:val="24"/>
        </w:rPr>
        <w:t xml:space="preserve"> (including the Drug Enforcement Administration and the HHS Office of Inspector General</w:t>
      </w:r>
      <w:ins w:id="68" w:author="Tierney Edwards" w:date="2013-08-27T09:29:00Z">
        <w:r w:rsidR="006940C4">
          <w:rPr>
            <w:rStyle w:val="FootnoteReference"/>
            <w:snapToGrid/>
            <w:szCs w:val="24"/>
          </w:rPr>
          <w:footnoteReference w:id="19"/>
        </w:r>
      </w:ins>
      <w:r w:rsidRPr="00FC1368">
        <w:rPr>
          <w:snapToGrid/>
          <w:szCs w:val="24"/>
        </w:rPr>
        <w:t>)</w:t>
      </w:r>
      <w:r>
        <w:rPr>
          <w:snapToGrid/>
          <w:szCs w:val="24"/>
        </w:rPr>
        <w:t>;</w:t>
      </w:r>
      <w:r w:rsidRPr="00FC1368">
        <w:rPr>
          <w:snapToGrid/>
          <w:szCs w:val="24"/>
        </w:rPr>
        <w:t xml:space="preserve"> </w:t>
      </w:r>
      <w:r>
        <w:rPr>
          <w:snapToGrid/>
          <w:szCs w:val="24"/>
        </w:rPr>
        <w:t>and</w:t>
      </w:r>
    </w:p>
    <w:p w:rsidR="00FC1368" w:rsidRPr="00FC1368" w:rsidRDefault="00FC1368" w:rsidP="00FC1368">
      <w:pPr>
        <w:numPr>
          <w:ilvl w:val="0"/>
          <w:numId w:val="15"/>
        </w:numPr>
        <w:spacing w:before="100" w:beforeAutospacing="1" w:after="100" w:afterAutospacing="1"/>
        <w:jc w:val="left"/>
        <w:rPr>
          <w:snapToGrid/>
          <w:szCs w:val="24"/>
        </w:rPr>
      </w:pPr>
      <w:r w:rsidRPr="00FC1368">
        <w:rPr>
          <w:snapToGrid/>
          <w:szCs w:val="24"/>
        </w:rPr>
        <w:t>Health plans</w:t>
      </w:r>
      <w:r>
        <w:rPr>
          <w:snapToGrid/>
          <w:szCs w:val="24"/>
        </w:rPr>
        <w:t>;</w:t>
      </w:r>
      <w:ins w:id="72" w:author="Tierney Edwards" w:date="2013-08-27T09:32:00Z">
        <w:r w:rsidR="00891514">
          <w:rPr>
            <w:rStyle w:val="FootnoteReference"/>
            <w:snapToGrid/>
            <w:szCs w:val="24"/>
          </w:rPr>
          <w:footnoteReference w:id="20"/>
        </w:r>
      </w:ins>
      <w:r w:rsidRPr="00FC1368">
        <w:rPr>
          <w:snapToGrid/>
          <w:szCs w:val="24"/>
        </w:rPr>
        <w:t xml:space="preserve"> </w:t>
      </w:r>
    </w:p>
    <w:p w:rsidR="00FC1368" w:rsidRPr="00FC1368" w:rsidDel="00165F08" w:rsidRDefault="00FC1368" w:rsidP="00FC1368">
      <w:pPr>
        <w:spacing w:before="100" w:beforeAutospacing="1" w:after="100" w:afterAutospacing="1"/>
        <w:jc w:val="left"/>
        <w:rPr>
          <w:del w:id="76" w:author="Tierney Edwards" w:date="2013-08-27T08:59:00Z"/>
          <w:snapToGrid/>
          <w:szCs w:val="24"/>
        </w:rPr>
      </w:pPr>
      <w:r w:rsidRPr="00FC1368">
        <w:rPr>
          <w:snapToGrid/>
          <w:szCs w:val="24"/>
        </w:rPr>
        <w:t>* The NPDB regulations define "state law or fraud enforcement agency" to include but not to be limited to these entities.</w:t>
      </w:r>
      <w:r w:rsidRPr="00FC1368">
        <w:rPr>
          <w:rStyle w:val="FootnoteReference"/>
        </w:rPr>
        <w:t xml:space="preserve"> </w:t>
      </w:r>
      <w:r>
        <w:rPr>
          <w:rStyle w:val="FootnoteReference"/>
        </w:rPr>
        <w:footnoteReference w:id="21"/>
      </w:r>
      <w:r>
        <w:rPr>
          <w:rStyle w:val="CommentReference"/>
        </w:rPr>
        <w:commentReference w:id="79"/>
      </w:r>
    </w:p>
    <w:p w:rsidR="00FC1368" w:rsidDel="00165F08" w:rsidRDefault="00FC1368" w:rsidP="00165F08">
      <w:pPr>
        <w:spacing w:before="100" w:beforeAutospacing="1" w:after="100" w:afterAutospacing="1"/>
        <w:jc w:val="left"/>
        <w:rPr>
          <w:del w:id="80" w:author="Tierney Edwards" w:date="2013-08-27T08:59:00Z"/>
        </w:rPr>
        <w:pPrChange w:id="81" w:author="Tierney Edwards" w:date="2013-08-27T08:59:00Z">
          <w:pPr/>
        </w:pPrChange>
      </w:pPr>
    </w:p>
    <w:p w:rsidR="00254692" w:rsidDel="00165F08" w:rsidRDefault="00254692" w:rsidP="00254692">
      <w:pPr>
        <w:rPr>
          <w:del w:id="82" w:author="Tierney Edwards" w:date="2013-08-27T08:59:00Z"/>
        </w:rPr>
      </w:pPr>
    </w:p>
    <w:p w:rsidR="00B57397" w:rsidRDefault="00B57397" w:rsidP="00B57397">
      <w:pPr>
        <w:tabs>
          <w:tab w:val="left" w:pos="-1440"/>
          <w:tab w:val="left" w:pos="-720"/>
        </w:tabs>
        <w:suppressAutoHyphens/>
      </w:pPr>
    </w:p>
    <w:p w:rsidR="00D858DD" w:rsidRDefault="00D858DD" w:rsidP="00D858DD">
      <w:pPr>
        <w:pStyle w:val="Heading2"/>
      </w:pPr>
      <w:commentRangeStart w:id="83"/>
      <w:commentRangeStart w:id="84"/>
      <w:r>
        <w:t>What actions trigger the need to report to the Data Bank?</w:t>
      </w:r>
      <w:commentRangeEnd w:id="83"/>
      <w:r>
        <w:rPr>
          <w:rStyle w:val="CommentReference"/>
          <w:b w:val="0"/>
        </w:rPr>
        <w:commentReference w:id="83"/>
      </w:r>
      <w:commentRangeEnd w:id="84"/>
      <w:r w:rsidR="00165F08">
        <w:rPr>
          <w:rStyle w:val="CommentReference"/>
          <w:b w:val="0"/>
        </w:rPr>
        <w:commentReference w:id="84"/>
      </w:r>
    </w:p>
    <w:p w:rsidR="00B06C75" w:rsidRDefault="00B06C75" w:rsidP="00B57397">
      <w:pPr>
        <w:pStyle w:val="Heading2"/>
        <w:rPr>
          <w:b w:val="0"/>
        </w:rPr>
      </w:pPr>
    </w:p>
    <w:p w:rsidR="00F600E5" w:rsidRDefault="00012703">
      <w:pPr>
        <w:ind w:firstLine="720"/>
      </w:pPr>
      <w:r w:rsidRPr="00012703">
        <w:t>The Data Bank website maintained by HHS briefly summarizes the major ca</w:t>
      </w:r>
      <w:r w:rsidR="00D858DD">
        <w:t>te</w:t>
      </w:r>
      <w:r w:rsidRPr="00012703">
        <w:t>gories of actions that trigger the need for the appropriate entity to report to the Data Bank and the format for such a report:</w:t>
      </w:r>
      <w:r w:rsidRPr="00012703">
        <w:rPr>
          <w:rStyle w:val="FootnoteReference"/>
        </w:rPr>
        <w:footnoteReference w:id="22"/>
      </w:r>
    </w:p>
    <w:tbl>
      <w:tblPr>
        <w:tblW w:w="5000" w:type="pct"/>
        <w:tblCellSpacing w:w="15" w:type="dxa"/>
        <w:tblCellMar>
          <w:top w:w="15" w:type="dxa"/>
          <w:left w:w="15" w:type="dxa"/>
          <w:bottom w:w="15" w:type="dxa"/>
          <w:right w:w="15" w:type="dxa"/>
        </w:tblCellMar>
        <w:tblLook w:val="04A0"/>
      </w:tblPr>
      <w:tblGrid>
        <w:gridCol w:w="5334"/>
        <w:gridCol w:w="4116"/>
      </w:tblGrid>
      <w:tr w:rsidR="00B06C75" w:rsidRPr="006779AE" w:rsidTr="000D3682">
        <w:trPr>
          <w:tblCellSpacing w:w="15" w:type="dxa"/>
        </w:trPr>
        <w:tc>
          <w:tcPr>
            <w:tcW w:w="0" w:type="auto"/>
            <w:gridSpan w:val="2"/>
            <w:tcBorders>
              <w:top w:val="nil"/>
              <w:left w:val="nil"/>
              <w:bottom w:val="nil"/>
              <w:right w:val="nil"/>
            </w:tcBorders>
            <w:tcMar>
              <w:top w:w="27" w:type="dxa"/>
              <w:left w:w="15" w:type="dxa"/>
              <w:bottom w:w="27" w:type="dxa"/>
              <w:right w:w="15" w:type="dxa"/>
            </w:tcMar>
            <w:vAlign w:val="center"/>
            <w:hideMark/>
          </w:tcPr>
          <w:p w:rsidR="00B06C75" w:rsidRPr="006779AE" w:rsidRDefault="00B06C75" w:rsidP="000D3682">
            <w:pPr>
              <w:jc w:val="center"/>
              <w:rPr>
                <w:szCs w:val="24"/>
              </w:rPr>
            </w:pPr>
            <w:commentRangeStart w:id="85"/>
            <w:r w:rsidRPr="006779AE">
              <w:rPr>
                <w:szCs w:val="24"/>
              </w:rPr>
              <w:t>Table 1. Reportable Actions</w:t>
            </w:r>
            <w:commentRangeEnd w:id="85"/>
            <w:r w:rsidR="00012703">
              <w:rPr>
                <w:rStyle w:val="CommentReference"/>
              </w:rPr>
              <w:commentReference w:id="85"/>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
          <w:p w:rsidR="00B06C75" w:rsidRPr="006779AE" w:rsidRDefault="00B06C75" w:rsidP="000D3682">
            <w:pPr>
              <w:jc w:val="center"/>
              <w:rPr>
                <w:b/>
                <w:bCs/>
                <w:szCs w:val="24"/>
              </w:rPr>
            </w:pPr>
            <w:r w:rsidRPr="006779AE">
              <w:rPr>
                <w:b/>
                <w:bCs/>
                <w:szCs w:val="24"/>
              </w:rPr>
              <w:t>Reportable Action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
          <w:p w:rsidR="00B06C75" w:rsidRPr="006779AE" w:rsidRDefault="00B06C75" w:rsidP="000D3682">
            <w:pPr>
              <w:jc w:val="center"/>
              <w:rPr>
                <w:b/>
                <w:bCs/>
                <w:szCs w:val="24"/>
              </w:rPr>
            </w:pPr>
            <w:r w:rsidRPr="006779AE">
              <w:rPr>
                <w:b/>
                <w:bCs/>
                <w:szCs w:val="24"/>
              </w:rPr>
              <w:t>Data Bank Report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Medical malpractice payments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Medical Malpractice Payment Report (MMPR)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Adverse clinical privilege</w:t>
            </w:r>
            <w:r w:rsidRPr="006779AE">
              <w:rPr>
                <w:b/>
                <w:bCs/>
                <w:szCs w:val="24"/>
              </w:rPr>
              <w:t xml:space="preserve"> </w:t>
            </w:r>
            <w:r w:rsidRPr="006779AE">
              <w:rPr>
                <w:szCs w:val="24"/>
              </w:rPr>
              <w:t>(including but not limited to network participation and panel membership) actions</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Clinical Privileges Action category on the Adverse Action Report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Adverse professional society membership actions</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Professional Society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State licensure and certification actions: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licensure, certification, registration, or other authorization by the state to provide health care services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State Licensure Action category on the AAR format </w:t>
            </w:r>
          </w:p>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Federal licensure and certification actions: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licensure, certification, registration or other authorization to provide health care services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Federal Licensure Action category on the AAR format </w:t>
            </w:r>
          </w:p>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Negative actions or findings by a peer review organization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Peer Review Organization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Negative actions or findings by a private accreditation organization</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Accreditation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lastRenderedPageBreak/>
              <w:t>Exclusions from participation in a Federal or state health care program (including Medicare and Medicaid)</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Exclusion or Debarment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Other adjudicated actions or decisions: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government agency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health plan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
          <w:p w:rsidR="00B06C75" w:rsidRPr="006779AE" w:rsidRDefault="00B06C75" w:rsidP="00B06C75">
            <w:pPr>
              <w:numPr>
                <w:ilvl w:val="0"/>
                <w:numId w:val="12"/>
              </w:numPr>
              <w:spacing w:before="100" w:beforeAutospacing="1" w:after="100" w:afterAutospacing="1"/>
              <w:jc w:val="left"/>
              <w:rPr>
                <w:szCs w:val="24"/>
              </w:rPr>
            </w:pPr>
            <w:r w:rsidRPr="006779AE">
              <w:rPr>
                <w:szCs w:val="24"/>
              </w:rPr>
              <w:t xml:space="preserve">Government Administrative Action category on the AAR format </w:t>
            </w:r>
          </w:p>
          <w:p w:rsidR="00B06C75" w:rsidRPr="006779AE" w:rsidRDefault="00B06C75" w:rsidP="00B06C75">
            <w:pPr>
              <w:numPr>
                <w:ilvl w:val="0"/>
                <w:numId w:val="12"/>
              </w:numPr>
              <w:spacing w:before="100" w:beforeAutospacing="1" w:after="100" w:afterAutospacing="1"/>
              <w:jc w:val="left"/>
              <w:rPr>
                <w:szCs w:val="24"/>
              </w:rPr>
            </w:pPr>
            <w:r w:rsidRPr="006779AE">
              <w:rPr>
                <w:szCs w:val="24"/>
              </w:rPr>
              <w:t>Health Plan Action category on the AAR format</w:t>
            </w:r>
          </w:p>
        </w:tc>
      </w:tr>
      <w:tr w:rsidR="00B06C75" w:rsidRPr="006779AE" w:rsidTr="00012703">
        <w:trPr>
          <w:tblCellSpacing w:w="15" w:type="dxa"/>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Health care-related civil judgments and criminal convictions in Federal or state court* </w:t>
            </w:r>
            <w:r w:rsidRPr="006779AE">
              <w:rPr>
                <w:szCs w:val="24"/>
              </w:rPr>
              <w:br/>
            </w:r>
            <w:r w:rsidRPr="006779AE">
              <w:rPr>
                <w:szCs w:val="24"/>
              </w:rPr>
              <w:br/>
              <w:t xml:space="preserve">(Federal, state, and local prosecutors must report criminal convictions)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
          <w:p w:rsidR="00B06C75" w:rsidRPr="006779AE" w:rsidRDefault="00B06C75" w:rsidP="000D3682">
            <w:pPr>
              <w:rPr>
                <w:szCs w:val="24"/>
              </w:rPr>
            </w:pPr>
            <w:r w:rsidRPr="006779AE">
              <w:rPr>
                <w:szCs w:val="24"/>
              </w:rPr>
              <w:t xml:space="preserve">Judgment or Conviction Reports (JOCR)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Criminal Conviction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Deferred Conviction </w:t>
            </w:r>
          </w:p>
          <w:p w:rsidR="00B06C75" w:rsidRPr="006779AE" w:rsidRDefault="00B06C75" w:rsidP="00B06C75">
            <w:pPr>
              <w:numPr>
                <w:ilvl w:val="0"/>
                <w:numId w:val="13"/>
              </w:numPr>
              <w:spacing w:before="100" w:beforeAutospacing="1" w:after="100" w:afterAutospacing="1"/>
              <w:jc w:val="left"/>
              <w:rPr>
                <w:szCs w:val="24"/>
              </w:rPr>
            </w:pPr>
            <w:proofErr w:type="spellStart"/>
            <w:r w:rsidRPr="006779AE">
              <w:rPr>
                <w:szCs w:val="24"/>
              </w:rPr>
              <w:t>Nolo</w:t>
            </w:r>
            <w:proofErr w:type="spellEnd"/>
            <w:r w:rsidRPr="006779AE">
              <w:rPr>
                <w:szCs w:val="24"/>
              </w:rPr>
              <w:t xml:space="preserve"> </w:t>
            </w:r>
            <w:proofErr w:type="spellStart"/>
            <w:r w:rsidRPr="006779AE">
              <w:rPr>
                <w:szCs w:val="24"/>
              </w:rPr>
              <w:t>Contendere</w:t>
            </w:r>
            <w:proofErr w:type="spellEnd"/>
            <w:r w:rsidRPr="006779AE">
              <w:rPr>
                <w:szCs w:val="24"/>
              </w:rPr>
              <w:t xml:space="preserve">/No Contest Plea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Injunction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Civil Judgment </w:t>
            </w:r>
          </w:p>
        </w:tc>
      </w:tr>
    </w:tbl>
    <w:p w:rsidR="00B06C75" w:rsidRDefault="00B06C75" w:rsidP="00B57397">
      <w:pPr>
        <w:pStyle w:val="Heading2"/>
      </w:pPr>
    </w:p>
    <w:p w:rsidR="00B57397" w:rsidRDefault="00B57397" w:rsidP="00B57397">
      <w:pPr>
        <w:pStyle w:val="Heading2"/>
      </w:pPr>
      <w:r>
        <w:t xml:space="preserve">What information regarding malpractice payments for physicians must be reported to the </w:t>
      </w:r>
      <w:r w:rsidR="008D685D">
        <w:t>Data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Medical malpractice payers must report to the </w:t>
      </w:r>
      <w:r w:rsidR="00215499">
        <w:t>Data Bank</w:t>
      </w:r>
      <w:r>
        <w:t xml:space="preserve"> any payment made on behalf of a physician in full or partial settlement or satisfaction of a written medical malpractice claim or judgment against a physician.</w:t>
      </w:r>
      <w:r w:rsidR="008D685D">
        <w:rPr>
          <w:rStyle w:val="FootnoteReference"/>
        </w:rPr>
        <w:footnoteReference w:id="23"/>
      </w:r>
      <w:r>
        <w:t xml:space="preserve">  The report must be made by the payer within 30 days of the payment and the report must include, among other things:</w:t>
      </w:r>
    </w:p>
    <w:p w:rsidR="00B57397" w:rsidRDefault="00B57397" w:rsidP="00B57397">
      <w:pPr>
        <w:tabs>
          <w:tab w:val="left" w:pos="-1440"/>
          <w:tab w:val="left" w:pos="-720"/>
        </w:tabs>
        <w:suppressAutoHyphens/>
      </w:pPr>
    </w:p>
    <w:p w:rsidR="00B57397" w:rsidRDefault="00B57397" w:rsidP="001E4925">
      <w:pPr>
        <w:pStyle w:val="ListBullet"/>
      </w:pPr>
      <w:r>
        <w:t>The name, address</w:t>
      </w:r>
      <w:r w:rsidR="00E43FE9">
        <w:t xml:space="preserve"> (work, and home if known)</w:t>
      </w:r>
      <w:r>
        <w:t xml:space="preserve">, social security number, </w:t>
      </w:r>
      <w:r w:rsidR="00E43FE9">
        <w:t xml:space="preserve">date of </w:t>
      </w:r>
      <w:r>
        <w:t xml:space="preserve">birth, </w:t>
      </w:r>
      <w:r w:rsidR="00E43FE9">
        <w:t xml:space="preserve">each </w:t>
      </w:r>
      <w:r>
        <w:t>professional school attended</w:t>
      </w:r>
      <w:r w:rsidR="007E3EAB">
        <w:t xml:space="preserve"> (and year of graduation)</w:t>
      </w:r>
      <w:r>
        <w:t>, and license number of the physician for whose benefit the payment was made</w:t>
      </w:r>
      <w:r w:rsidR="007E3EAB">
        <w:t xml:space="preserve"> (including the field of licensure and state of issue)</w:t>
      </w:r>
      <w:r>
        <w:t>.</w:t>
      </w:r>
    </w:p>
    <w:p w:rsidR="00254692" w:rsidRDefault="00254692" w:rsidP="00254692">
      <w:pPr>
        <w:ind w:left="720"/>
      </w:pPr>
    </w:p>
    <w:p w:rsidR="00254692" w:rsidRDefault="007E3EAB" w:rsidP="00254692">
      <w:pPr>
        <w:pStyle w:val="ListParagraph"/>
        <w:numPr>
          <w:ilvl w:val="0"/>
          <w:numId w:val="4"/>
        </w:numPr>
      </w:pPr>
      <w:r>
        <w:t>DEA number;</w:t>
      </w:r>
    </w:p>
    <w:p w:rsidR="00B57397" w:rsidRDefault="00B57397" w:rsidP="00B57397">
      <w:pPr>
        <w:tabs>
          <w:tab w:val="left" w:pos="-1440"/>
          <w:tab w:val="left" w:pos="-720"/>
        </w:tabs>
        <w:suppressAutoHyphens/>
      </w:pPr>
    </w:p>
    <w:p w:rsidR="00B57397" w:rsidRDefault="00B57397" w:rsidP="001E4925">
      <w:pPr>
        <w:pStyle w:val="ListBullet"/>
      </w:pPr>
      <w:r>
        <w:t xml:space="preserve">The name of any hospital with which the physician is associated. </w:t>
      </w:r>
    </w:p>
    <w:p w:rsidR="00B57397" w:rsidRDefault="00B57397" w:rsidP="00B57397"/>
    <w:p w:rsidR="00B57397" w:rsidRDefault="00B57397" w:rsidP="001E4925">
      <w:pPr>
        <w:pStyle w:val="ListBullet"/>
      </w:pPr>
      <w:r>
        <w:t>The name of the entity making the payment.</w:t>
      </w:r>
    </w:p>
    <w:p w:rsidR="00254692" w:rsidRDefault="00254692" w:rsidP="00254692">
      <w:pPr>
        <w:ind w:left="720"/>
      </w:pPr>
    </w:p>
    <w:p w:rsidR="00254692" w:rsidRDefault="007E3EAB" w:rsidP="00254692">
      <w:pPr>
        <w:pStyle w:val="ListParagraph"/>
        <w:numPr>
          <w:ilvl w:val="0"/>
          <w:numId w:val="4"/>
        </w:numPr>
      </w:pPr>
      <w:r>
        <w:t>The date of judgment or settlement.</w:t>
      </w:r>
    </w:p>
    <w:p w:rsidR="00B57397" w:rsidRDefault="00B57397" w:rsidP="00B57397">
      <w:pPr>
        <w:tabs>
          <w:tab w:val="left" w:pos="-1440"/>
          <w:tab w:val="left" w:pos="-720"/>
        </w:tabs>
        <w:suppressAutoHyphens/>
      </w:pPr>
    </w:p>
    <w:p w:rsidR="00B57397" w:rsidRDefault="00B57397" w:rsidP="001E4925">
      <w:pPr>
        <w:pStyle w:val="ListBullet"/>
      </w:pPr>
      <w:r>
        <w:t>The amount of the payment.</w:t>
      </w:r>
    </w:p>
    <w:p w:rsidR="00B57397" w:rsidRDefault="00B57397" w:rsidP="00B57397">
      <w:pPr>
        <w:tabs>
          <w:tab w:val="left" w:pos="-1440"/>
          <w:tab w:val="left" w:pos="-720"/>
        </w:tabs>
        <w:suppressAutoHyphens/>
      </w:pPr>
    </w:p>
    <w:p w:rsidR="00B57397" w:rsidRDefault="00B57397" w:rsidP="001E4925">
      <w:pPr>
        <w:pStyle w:val="ListBullet"/>
      </w:pPr>
      <w:r>
        <w:lastRenderedPageBreak/>
        <w:t>A description of the acts or omissions and injuries or illnesses upon which the claim was based.</w:t>
      </w:r>
    </w:p>
    <w:p w:rsidR="00B57397" w:rsidRDefault="00B57397" w:rsidP="00B57397">
      <w:pPr>
        <w:tabs>
          <w:tab w:val="left" w:pos="-1440"/>
          <w:tab w:val="left" w:pos="-720"/>
        </w:tabs>
        <w:suppressAutoHyphens/>
      </w:pPr>
    </w:p>
    <w:p w:rsidR="00B57397" w:rsidRDefault="00EF0284" w:rsidP="00B57397">
      <w:pPr>
        <w:tabs>
          <w:tab w:val="left" w:pos="-1440"/>
          <w:tab w:val="left" w:pos="-720"/>
        </w:tabs>
        <w:suppressAutoHyphens/>
      </w:pPr>
      <w:r>
        <w:tab/>
      </w:r>
      <w:r w:rsidR="00B57397">
        <w:t xml:space="preserve">Physicians, however, are not required to self-report to the </w:t>
      </w:r>
      <w:r w:rsidR="00215499">
        <w:t xml:space="preserve">Data Bank </w:t>
      </w:r>
      <w:r w:rsidR="00B57397">
        <w:t>medical malpractice payments they make on their own behalf.</w:t>
      </w:r>
    </w:p>
    <w:p w:rsidR="00B57397" w:rsidRDefault="00B57397" w:rsidP="00B57397">
      <w:pPr>
        <w:tabs>
          <w:tab w:val="left" w:pos="-1440"/>
          <w:tab w:val="left" w:pos="-720"/>
        </w:tabs>
        <w:suppressAutoHyphens/>
      </w:pPr>
    </w:p>
    <w:p w:rsidR="00B57397" w:rsidRDefault="00B57397" w:rsidP="00B57397">
      <w:pPr>
        <w:pStyle w:val="Heading2"/>
      </w:pPr>
      <w:r>
        <w:t xml:space="preserve">What information regarding licensure actions against a physician must be reported to the </w:t>
      </w:r>
      <w:r w:rsidR="00215499">
        <w:t>D</w:t>
      </w:r>
      <w:r w:rsidR="00B06C75">
        <w:t>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information must be reported to the </w:t>
      </w:r>
      <w:r w:rsidR="00215499">
        <w:t>D</w:t>
      </w:r>
      <w:r w:rsidR="00B06C75">
        <w:t>ata Bank</w:t>
      </w:r>
      <w:r w:rsidR="00454691">
        <w:t xml:space="preserve"> </w:t>
      </w:r>
      <w:r>
        <w:t>by the Medical Quality Assurance Commission (MQAC) within 30 days of the action</w:t>
      </w:r>
      <w:r w:rsidR="00211427">
        <w:t xml:space="preserve"> based on reasons related to a physician’s professional competence or professional conduct</w:t>
      </w:r>
      <w:r>
        <w:t>:</w:t>
      </w:r>
      <w:r w:rsidR="00454691">
        <w:rPr>
          <w:rStyle w:val="FootnoteReference"/>
        </w:rPr>
        <w:footnoteReference w:id="24"/>
      </w:r>
    </w:p>
    <w:p w:rsidR="00B57397" w:rsidRDefault="00B57397" w:rsidP="00B57397">
      <w:pPr>
        <w:tabs>
          <w:tab w:val="left" w:pos="-1440"/>
          <w:tab w:val="left" w:pos="-720"/>
        </w:tabs>
        <w:suppressAutoHyphens/>
      </w:pPr>
    </w:p>
    <w:p w:rsidR="00B57397" w:rsidRDefault="00B57397" w:rsidP="001E4925">
      <w:pPr>
        <w:pStyle w:val="ListBullet"/>
      </w:pPr>
      <w:r>
        <w:t>Any surrender of a physician’s license.</w:t>
      </w:r>
    </w:p>
    <w:p w:rsidR="00B57397" w:rsidRDefault="00B57397" w:rsidP="00B57397">
      <w:pPr>
        <w:pStyle w:val="EndnoteText"/>
        <w:tabs>
          <w:tab w:val="left" w:pos="-1440"/>
          <w:tab w:val="left" w:pos="-720"/>
        </w:tabs>
        <w:suppressAutoHyphens/>
        <w:rPr>
          <w:rFonts w:ascii="Times New Roman" w:hAnsi="Times New Roman"/>
        </w:rPr>
      </w:pPr>
    </w:p>
    <w:p w:rsidR="00B57397" w:rsidRDefault="00B57397" w:rsidP="001E4925">
      <w:pPr>
        <w:pStyle w:val="ListBullet"/>
      </w:pPr>
      <w:r>
        <w:t>Any revocation, suspension, or restriction of a physician’s license.</w:t>
      </w:r>
    </w:p>
    <w:p w:rsidR="00B57397" w:rsidRDefault="00B57397" w:rsidP="00B57397">
      <w:pPr>
        <w:tabs>
          <w:tab w:val="left" w:pos="-1440"/>
          <w:tab w:val="left" w:pos="-720"/>
          <w:tab w:val="left" w:pos="0"/>
          <w:tab w:val="left" w:pos="720"/>
        </w:tabs>
        <w:suppressAutoHyphens/>
        <w:ind w:left="1440" w:hanging="1440"/>
      </w:pPr>
    </w:p>
    <w:p w:rsidR="00B57397" w:rsidRDefault="00B57397" w:rsidP="001E4925">
      <w:pPr>
        <w:pStyle w:val="ListBullet"/>
      </w:pPr>
      <w:r>
        <w:t>Any censure, reprimand, or probation of a physician, for reasons relating to the physician’s professional competence or conduct</w:t>
      </w:r>
      <w:r w:rsidR="00211427">
        <w:t xml:space="preserve"> as the result of a formal proceeding</w:t>
      </w:r>
      <w:r>
        <w:t xml:space="preserve">.  </w:t>
      </w:r>
      <w:r w:rsidR="00776DFF">
        <w:t>M</w:t>
      </w:r>
      <w:r>
        <w:t>atters resolved by a</w:t>
      </w:r>
      <w:r w:rsidR="00776DFF">
        <w:t xml:space="preserve"> stipulation to</w:t>
      </w:r>
      <w:r>
        <w:t xml:space="preserve"> informal disposition</w:t>
      </w:r>
      <w:r w:rsidR="00776DFF">
        <w:t xml:space="preserve"> (STID)</w:t>
      </w:r>
      <w:r>
        <w:t xml:space="preserve">, which </w:t>
      </w:r>
      <w:r w:rsidR="00776DFF">
        <w:t>are</w:t>
      </w:r>
      <w:r>
        <w:t xml:space="preserve"> not formal disciplinary action</w:t>
      </w:r>
      <w:r w:rsidR="00776DFF">
        <w:t>s</w:t>
      </w:r>
      <w:r>
        <w:t xml:space="preserve">, </w:t>
      </w:r>
      <w:r w:rsidR="00776DFF">
        <w:t xml:space="preserve">are nonetheless subject to public disclosure, ns must also </w:t>
      </w:r>
      <w:r>
        <w:t xml:space="preserve">be reported.  </w:t>
      </w:r>
      <w:r>
        <w:rPr>
          <w:u w:val="single"/>
        </w:rPr>
        <w:t>See</w:t>
      </w:r>
      <w:r>
        <w:t xml:space="preserve"> </w:t>
      </w:r>
      <w:r>
        <w:rPr>
          <w:b/>
          <w:bCs/>
        </w:rPr>
        <w:t>Medical Discipline.</w:t>
      </w:r>
      <w:r>
        <w:t xml:space="preserve"> </w:t>
      </w:r>
    </w:p>
    <w:p w:rsidR="00B57397" w:rsidRDefault="00B57397" w:rsidP="00B57397">
      <w:pPr>
        <w:tabs>
          <w:tab w:val="left" w:pos="-1440"/>
          <w:tab w:val="left" w:pos="-720"/>
        </w:tabs>
        <w:suppressAutoHyphens/>
      </w:pPr>
    </w:p>
    <w:p w:rsidR="00B57397" w:rsidRDefault="00B57397" w:rsidP="001E4925">
      <w:pPr>
        <w:pStyle w:val="ListBullet"/>
      </w:pPr>
      <w:r>
        <w:t xml:space="preserve"> The MQAC must include the physician’s name, work address, home address if known, social security number if known, date of birth, </w:t>
      </w:r>
      <w:r w:rsidR="00211427">
        <w:t xml:space="preserve">each </w:t>
      </w:r>
      <w:r>
        <w:t xml:space="preserve">professional school attended, date of graduation, and license number, </w:t>
      </w:r>
      <w:r w:rsidR="00211427">
        <w:t xml:space="preserve">DEA number, </w:t>
      </w:r>
      <w:r>
        <w:t xml:space="preserve">a description of the acts or omissions for which the discipline was imposed, a description of the action taken by the MQAC, and the classification of the action under the </w:t>
      </w:r>
      <w:r w:rsidR="00215499">
        <w:t>D</w:t>
      </w:r>
      <w:r w:rsidR="00B06C75">
        <w:t xml:space="preserve">ata </w:t>
      </w:r>
      <w:proofErr w:type="gramStart"/>
      <w:r w:rsidR="00B06C75">
        <w:t>Bank</w:t>
      </w:r>
      <w:r w:rsidR="00CE22C8">
        <w:t xml:space="preserve">  </w:t>
      </w:r>
      <w:r>
        <w:t>reporting</w:t>
      </w:r>
      <w:proofErr w:type="gramEnd"/>
      <w:r>
        <w:t xml:space="preserve"> codes.</w:t>
      </w:r>
    </w:p>
    <w:p w:rsidR="00254692" w:rsidRDefault="00254692" w:rsidP="00254692">
      <w:pPr>
        <w:ind w:left="720"/>
      </w:pPr>
    </w:p>
    <w:p w:rsidR="00254692" w:rsidRDefault="00211427" w:rsidP="00254692">
      <w:pPr>
        <w:ind w:firstLine="720"/>
      </w:pPr>
      <w:r>
        <w:t>In addition, the following licensure actions taken by a state as the result of a formal proceeding must be reported:</w:t>
      </w:r>
    </w:p>
    <w:p w:rsidR="00254692" w:rsidRDefault="00254692" w:rsidP="00254692"/>
    <w:p w:rsidR="00254692" w:rsidRDefault="00A53C90" w:rsidP="00254692">
      <w:pPr>
        <w:pStyle w:val="ListParagraph"/>
        <w:numPr>
          <w:ilvl w:val="0"/>
          <w:numId w:val="4"/>
        </w:numPr>
      </w:pPr>
      <w:r>
        <w:t>Any dismissal or closure of a formal proceeding by reason of the physician surrendering his/her license, or leaving the state or jurisdiction.</w:t>
      </w:r>
      <w:r w:rsidRPr="00A53C90">
        <w:rPr>
          <w:rStyle w:val="FootnoteReference"/>
        </w:rPr>
        <w:t xml:space="preserve"> </w:t>
      </w:r>
    </w:p>
    <w:p w:rsidR="00B57397" w:rsidRDefault="00B57397" w:rsidP="00B57397">
      <w:pPr>
        <w:tabs>
          <w:tab w:val="left" w:pos="-1440"/>
          <w:tab w:val="left" w:pos="-720"/>
        </w:tabs>
        <w:suppressAutoHyphens/>
      </w:pPr>
    </w:p>
    <w:p w:rsidR="00254692" w:rsidRDefault="00A53C90" w:rsidP="00254692">
      <w:pPr>
        <w:pStyle w:val="ListParagraph"/>
        <w:numPr>
          <w:ilvl w:val="0"/>
          <w:numId w:val="4"/>
        </w:numPr>
        <w:tabs>
          <w:tab w:val="left" w:pos="-1440"/>
          <w:tab w:val="left" w:pos="-720"/>
        </w:tabs>
        <w:suppressAutoHyphens/>
      </w:pPr>
      <w:r>
        <w:t xml:space="preserve">Any other loss of the physician’s license whether by operation of law, voluntary surrender (excluding those due to non-payment of licensure renewal fees, retirement, or change to inactive status), or otherwise. </w:t>
      </w:r>
    </w:p>
    <w:p w:rsidR="00254692" w:rsidRDefault="00254692" w:rsidP="00254692">
      <w:pPr>
        <w:pStyle w:val="ListParagraph"/>
      </w:pPr>
    </w:p>
    <w:p w:rsidR="00254692" w:rsidRDefault="00A53C90" w:rsidP="00254692">
      <w:pPr>
        <w:pStyle w:val="ListParagraph"/>
        <w:numPr>
          <w:ilvl w:val="0"/>
          <w:numId w:val="4"/>
        </w:numPr>
        <w:tabs>
          <w:tab w:val="left" w:pos="-1440"/>
          <w:tab w:val="left" w:pos="-720"/>
        </w:tabs>
        <w:suppressAutoHyphens/>
      </w:pPr>
      <w:r>
        <w:t>Any negative action or finding by such authority, organization, or entity regarding the physician.</w:t>
      </w:r>
    </w:p>
    <w:p w:rsidR="00254692" w:rsidRDefault="00254692" w:rsidP="00254692">
      <w:pPr>
        <w:pStyle w:val="ListParagraph"/>
      </w:pPr>
    </w:p>
    <w:p w:rsidR="00B57397" w:rsidRDefault="00B57397" w:rsidP="00B57397">
      <w:pPr>
        <w:pStyle w:val="Heading2"/>
      </w:pPr>
      <w:r>
        <w:lastRenderedPageBreak/>
        <w:t xml:space="preserve">What information regarding </w:t>
      </w:r>
      <w:r w:rsidR="00C917BF">
        <w:t xml:space="preserve">adverse </w:t>
      </w:r>
      <w:r>
        <w:t>professional review actions</w:t>
      </w:r>
      <w:r w:rsidR="00C917BF">
        <w:t xml:space="preserve"> on clinical privileges</w:t>
      </w:r>
      <w:r>
        <w:t xml:space="preserve"> taken against a physician must be reported to the </w:t>
      </w:r>
      <w:r w:rsidR="00215499">
        <w:t>D</w:t>
      </w:r>
      <w:r w:rsidR="00B06C75">
        <w:t>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Each health care entity must report information concerning an adverse professional review action whenever:</w:t>
      </w:r>
      <w:r w:rsidR="00454691">
        <w:rPr>
          <w:rStyle w:val="FootnoteReference"/>
        </w:rPr>
        <w:footnoteReference w:id="25"/>
      </w:r>
    </w:p>
    <w:p w:rsidR="00B57397" w:rsidRDefault="00B57397" w:rsidP="00B57397">
      <w:pPr>
        <w:tabs>
          <w:tab w:val="left" w:pos="-1440"/>
          <w:tab w:val="left" w:pos="-720"/>
        </w:tabs>
        <w:suppressAutoHyphens/>
      </w:pPr>
    </w:p>
    <w:p w:rsidR="00B57397" w:rsidRDefault="00B57397" w:rsidP="001E4925">
      <w:pPr>
        <w:pStyle w:val="ListBullet"/>
      </w:pPr>
      <w:r>
        <w:t>The entity takes a professional review action that adversely affects a physician’s clinical privileges for more than 30 days.</w:t>
      </w:r>
    </w:p>
    <w:p w:rsidR="00B57397" w:rsidRDefault="00B57397" w:rsidP="00B57397">
      <w:pPr>
        <w:tabs>
          <w:tab w:val="left" w:pos="-1440"/>
          <w:tab w:val="left" w:pos="-720"/>
        </w:tabs>
        <w:suppressAutoHyphens/>
      </w:pPr>
    </w:p>
    <w:p w:rsidR="00B57397" w:rsidRDefault="00B57397" w:rsidP="001E4925">
      <w:pPr>
        <w:pStyle w:val="ListBullet"/>
      </w:pPr>
      <w:r>
        <w:t>The entity accepts the surrender of clinical privileges of a physician in either of the following circumstances:</w:t>
      </w:r>
    </w:p>
    <w:p w:rsidR="00B57397" w:rsidRDefault="00B57397" w:rsidP="00B57397">
      <w:pPr>
        <w:tabs>
          <w:tab w:val="left" w:pos="-1440"/>
          <w:tab w:val="left" w:pos="-720"/>
        </w:tabs>
        <w:suppressAutoHyphens/>
      </w:pPr>
    </w:p>
    <w:p w:rsidR="00B57397" w:rsidRDefault="00B57397" w:rsidP="00B57397">
      <w:pPr>
        <w:pStyle w:val="ListBullet2"/>
      </w:pPr>
      <w:r>
        <w:t>While the physician is under an investigation relating to possible incompetence or improper professional conduct.</w:t>
      </w:r>
    </w:p>
    <w:p w:rsidR="00B57397" w:rsidRDefault="00B57397" w:rsidP="00B57397">
      <w:pPr>
        <w:tabs>
          <w:tab w:val="left" w:pos="-1440"/>
          <w:tab w:val="left" w:pos="-720"/>
        </w:tabs>
        <w:suppressAutoHyphens/>
      </w:pPr>
    </w:p>
    <w:p w:rsidR="00B57397" w:rsidRDefault="00B57397" w:rsidP="00B57397">
      <w:pPr>
        <w:pStyle w:val="ListBullet2"/>
      </w:pPr>
      <w:r>
        <w:t>In return for not conducting such an investigation or proceeding.</w:t>
      </w:r>
    </w:p>
    <w:p w:rsidR="00B57397" w:rsidRDefault="00B57397" w:rsidP="00B57397">
      <w:pPr>
        <w:tabs>
          <w:tab w:val="left" w:pos="-1440"/>
          <w:tab w:val="left" w:pos="-720"/>
        </w:tabs>
        <w:suppressAutoHyphens/>
      </w:pPr>
    </w:p>
    <w:p w:rsidR="00B57397" w:rsidRDefault="00B57397" w:rsidP="001E4925">
      <w:pPr>
        <w:pStyle w:val="ListBullet"/>
      </w:pPr>
      <w:r>
        <w:t>A professional society takes a professional review action, based on reasons relating to professional competence or conduct, which adversely affects the membership of a physician in the society.</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The entity must report such adverse professional review actions to the MQAC within 15 days of reviewing the entity’s report.</w:t>
      </w:r>
      <w:r w:rsidR="00C917BF">
        <w:t xml:space="preserve"> </w:t>
      </w:r>
      <w:r w:rsidR="00B57397">
        <w:t xml:space="preserve">  The MQAC must then report the action to the </w:t>
      </w:r>
      <w:r w:rsidR="00215499">
        <w:t>D</w:t>
      </w:r>
      <w:r w:rsidR="00B06C75">
        <w:t>ata Bank</w:t>
      </w:r>
      <w:r w:rsidR="00B57397">
        <w:t>.</w:t>
      </w:r>
    </w:p>
    <w:p w:rsidR="00B57397" w:rsidRDefault="00B57397" w:rsidP="00B57397">
      <w:pPr>
        <w:tabs>
          <w:tab w:val="left" w:pos="-1440"/>
          <w:tab w:val="left" w:pos="-720"/>
        </w:tabs>
        <w:suppressAutoHyphens/>
      </w:pPr>
    </w:p>
    <w:p w:rsidR="00B57397" w:rsidRDefault="00B57397" w:rsidP="00B57397">
      <w:pPr>
        <w:pStyle w:val="Heading2"/>
      </w:pPr>
      <w:r>
        <w:t xml:space="preserve">Can a physician dispute a </w:t>
      </w:r>
      <w:r w:rsidR="00215499">
        <w:t>D</w:t>
      </w:r>
      <w:r w:rsidR="00B06C75">
        <w:t>ata Bank</w:t>
      </w:r>
      <w:r>
        <w:t xml:space="preserve"> report?</w:t>
      </w:r>
    </w:p>
    <w:p w:rsidR="00B57397" w:rsidRDefault="00B57397" w:rsidP="00B57397">
      <w:pPr>
        <w:keepNext/>
        <w:keepLines/>
        <w:widowControl w:val="0"/>
        <w:tabs>
          <w:tab w:val="left" w:pos="-1440"/>
          <w:tab w:val="left" w:pos="-720"/>
        </w:tabs>
        <w:suppressAutoHyphens/>
      </w:pPr>
    </w:p>
    <w:p w:rsidR="00B57397" w:rsidRDefault="00B57397" w:rsidP="00B57397">
      <w:pPr>
        <w:keepNext/>
        <w:keepLines/>
        <w:widowControl w:val="0"/>
        <w:tabs>
          <w:tab w:val="left" w:pos="-1440"/>
          <w:tab w:val="left" w:pos="-720"/>
        </w:tabs>
        <w:suppressAutoHyphens/>
      </w:pPr>
      <w:r>
        <w:tab/>
        <w:t>Yes.</w:t>
      </w:r>
      <w:r w:rsidR="00012703">
        <w:rPr>
          <w:rStyle w:val="FootnoteReference"/>
        </w:rPr>
        <w:footnoteReference w:id="26"/>
      </w:r>
      <w:r>
        <w:t xml:space="preserve">  A physician may dispute either of the following, within 60 days of the date the report is mailed:</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The factual accuracy of a report.</w:t>
      </w:r>
    </w:p>
    <w:p w:rsidR="00B57397" w:rsidRDefault="00B57397" w:rsidP="00B57397">
      <w:pPr>
        <w:tabs>
          <w:tab w:val="left" w:pos="-1440"/>
          <w:tab w:val="left" w:pos="-720"/>
        </w:tabs>
        <w:suppressAutoHyphens/>
      </w:pPr>
    </w:p>
    <w:p w:rsidR="00B57397" w:rsidRDefault="00B57397" w:rsidP="001E4925">
      <w:pPr>
        <w:pStyle w:val="ListBullet"/>
      </w:pPr>
      <w:r>
        <w:t xml:space="preserve">Whether a report was submitted in accordance with the </w:t>
      </w:r>
      <w:r w:rsidR="00B06C75">
        <w:t>Data Bank</w:t>
      </w:r>
      <w:r>
        <w:t xml:space="preserve"> requirements, including the eligibility of the entity to make the report.</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When disputing the accuracy of a report, the physician must:</w:t>
      </w:r>
    </w:p>
    <w:p w:rsidR="00B57397" w:rsidRDefault="00B57397" w:rsidP="00B57397">
      <w:pPr>
        <w:tabs>
          <w:tab w:val="left" w:pos="-1440"/>
          <w:tab w:val="left" w:pos="-720"/>
        </w:tabs>
        <w:suppressAutoHyphens/>
      </w:pPr>
    </w:p>
    <w:p w:rsidR="00B57397" w:rsidRDefault="00B57397" w:rsidP="00B57397">
      <w:pPr>
        <w:pStyle w:val="ListBullet2"/>
      </w:pPr>
      <w:r>
        <w:t>Inform the Secretary of the Department of Health and Human Services and the reporting entity, in writing, of the disagreement, and the basis for it.</w:t>
      </w:r>
    </w:p>
    <w:p w:rsidR="00B57397" w:rsidRDefault="00B57397" w:rsidP="00B57397">
      <w:pPr>
        <w:tabs>
          <w:tab w:val="left" w:pos="-1440"/>
          <w:tab w:val="left" w:pos="-720"/>
        </w:tabs>
        <w:suppressAutoHyphens/>
      </w:pPr>
    </w:p>
    <w:p w:rsidR="00B57397" w:rsidRDefault="00B57397" w:rsidP="00B57397">
      <w:pPr>
        <w:pStyle w:val="ListBullet2"/>
      </w:pPr>
      <w:r>
        <w:t>Request that the disputed information be entered into a “disputed” status, and be so related to inquirers.</w:t>
      </w:r>
    </w:p>
    <w:p w:rsidR="00B57397" w:rsidRDefault="00B57397" w:rsidP="00B57397">
      <w:pPr>
        <w:tabs>
          <w:tab w:val="left" w:pos="-1440"/>
          <w:tab w:val="left" w:pos="-720"/>
        </w:tabs>
        <w:suppressAutoHyphens/>
      </w:pPr>
    </w:p>
    <w:p w:rsidR="00B57397" w:rsidRDefault="00B57397" w:rsidP="00B57397">
      <w:pPr>
        <w:pStyle w:val="ListBullet2"/>
      </w:pPr>
      <w:r>
        <w:lastRenderedPageBreak/>
        <w:t>Attempt to enter into a discussion with the reporting entity to resolve the dispute.</w:t>
      </w:r>
    </w:p>
    <w:p w:rsidR="00B57397" w:rsidRDefault="00B57397" w:rsidP="00B57397">
      <w:pPr>
        <w:tabs>
          <w:tab w:val="left" w:pos="-1440"/>
          <w:tab w:val="left" w:pos="-720"/>
        </w:tabs>
        <w:suppressAutoHyphens/>
      </w:pPr>
    </w:p>
    <w:p w:rsidR="00B57397" w:rsidRDefault="00E92EB4" w:rsidP="00B57397">
      <w:pPr>
        <w:keepNext/>
        <w:keepLines/>
        <w:widowControl w:val="0"/>
        <w:tabs>
          <w:tab w:val="left" w:pos="-1440"/>
          <w:tab w:val="left" w:pos="-720"/>
        </w:tabs>
        <w:suppressAutoHyphens/>
      </w:pPr>
      <w:r>
        <w:tab/>
      </w:r>
      <w:r w:rsidR="00B57397">
        <w:t>The physician may not, however, dispute a report in order to do any of the following:</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Protest an insurer’s decision to settle a claim.</w:t>
      </w:r>
    </w:p>
    <w:p w:rsidR="00B57397" w:rsidRDefault="00B57397" w:rsidP="00B57397">
      <w:pPr>
        <w:tabs>
          <w:tab w:val="left" w:pos="-1440"/>
          <w:tab w:val="left" w:pos="-720"/>
        </w:tabs>
        <w:suppressAutoHyphens/>
      </w:pPr>
    </w:p>
    <w:p w:rsidR="00B57397" w:rsidRDefault="00B57397" w:rsidP="001E4925">
      <w:pPr>
        <w:pStyle w:val="ListBullet"/>
      </w:pPr>
      <w:r>
        <w:t>Appeal the underlying reasons for an adverse action.</w:t>
      </w:r>
    </w:p>
    <w:p w:rsidR="00B57397" w:rsidRDefault="00B57397" w:rsidP="00B57397">
      <w:pPr>
        <w:tabs>
          <w:tab w:val="left" w:pos="-1440"/>
          <w:tab w:val="left" w:pos="-720"/>
        </w:tabs>
        <w:suppressAutoHyphens/>
      </w:pPr>
    </w:p>
    <w:p w:rsidR="00B57397" w:rsidRDefault="00B57397" w:rsidP="00B57397">
      <w:pPr>
        <w:pStyle w:val="Heading2"/>
      </w:pPr>
      <w:r>
        <w:t xml:space="preserve">How does a physician dispute a report to the </w:t>
      </w:r>
      <w:r w:rsidR="00B06C75">
        <w:t>Data Bank</w:t>
      </w:r>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When the </w:t>
      </w:r>
      <w:r w:rsidR="00B06C75">
        <w:t>Data Bank</w:t>
      </w:r>
      <w:r>
        <w:t xml:space="preserve"> processes a report, the </w:t>
      </w:r>
      <w:r w:rsidR="00B06C75">
        <w:t>Data Bank</w:t>
      </w:r>
      <w:r>
        <w:t xml:space="preserve"> sends a </w:t>
      </w:r>
      <w:r>
        <w:rPr>
          <w:i/>
        </w:rPr>
        <w:t>Notification of a Report in the Data Bank(s)</w:t>
      </w:r>
      <w:r>
        <w:t xml:space="preserve"> to the physician who has been reported.  The physician should review the report for accuracy and, if any information in the report is inaccurate, contact the reporting entity to correct the information.  </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ab/>
        <w:t>A physician who disagrees with the factual accuracy of a report has three options if the reporting entity will not correct the information:</w:t>
      </w:r>
    </w:p>
    <w:p w:rsidR="00B57397" w:rsidRDefault="00B57397" w:rsidP="00B57397">
      <w:pPr>
        <w:tabs>
          <w:tab w:val="left" w:pos="-1440"/>
          <w:tab w:val="left" w:pos="-720"/>
        </w:tabs>
        <w:suppressAutoHyphens/>
      </w:pPr>
    </w:p>
    <w:p w:rsidR="00B57397" w:rsidRDefault="00B57397" w:rsidP="001E4925">
      <w:pPr>
        <w:pStyle w:val="ListBullet"/>
      </w:pPr>
      <w:r>
        <w:t>Add a statement to the report.</w:t>
      </w:r>
    </w:p>
    <w:p w:rsidR="00B57397" w:rsidRDefault="00B57397" w:rsidP="00B57397">
      <w:pPr>
        <w:tabs>
          <w:tab w:val="left" w:pos="-1440"/>
          <w:tab w:val="left" w:pos="-720"/>
        </w:tabs>
        <w:suppressAutoHyphens/>
      </w:pPr>
    </w:p>
    <w:p w:rsidR="00B57397" w:rsidRDefault="00B57397" w:rsidP="001E4925">
      <w:pPr>
        <w:pStyle w:val="ListBullet"/>
      </w:pPr>
      <w:r>
        <w:t>Initiate a dispute of the report</w:t>
      </w:r>
      <w:r w:rsidR="00613833">
        <w:t xml:space="preserve"> (must be done within 60 days from the date the report was mailed)</w:t>
      </w:r>
      <w:r>
        <w:t>.</w:t>
      </w:r>
    </w:p>
    <w:p w:rsidR="00B57397" w:rsidRDefault="00B57397" w:rsidP="00B57397">
      <w:pPr>
        <w:tabs>
          <w:tab w:val="left" w:pos="-1440"/>
          <w:tab w:val="left" w:pos="-720"/>
        </w:tabs>
        <w:suppressAutoHyphens/>
      </w:pPr>
    </w:p>
    <w:p w:rsidR="00B57397" w:rsidRDefault="00B57397" w:rsidP="001E4925">
      <w:pPr>
        <w:pStyle w:val="ListBullet"/>
      </w:pPr>
      <w:r>
        <w:t>Add a statement and initiate a dispute.</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 xml:space="preserve">To add a statement or to dispute the report, the physician should follow the applicable instructions on the </w:t>
      </w:r>
      <w:r>
        <w:rPr>
          <w:i/>
        </w:rPr>
        <w:t>Notification of a Report in the Data Bank(s)</w:t>
      </w:r>
      <w:r>
        <w:t xml:space="preserve">.  If the physician does not have the original </w:t>
      </w:r>
      <w:r>
        <w:rPr>
          <w:i/>
        </w:rPr>
        <w:t>Notification of a Report in the Data Bank(s)</w:t>
      </w:r>
      <w:r>
        <w:t xml:space="preserve">, the physician may obtain a </w:t>
      </w:r>
      <w:r>
        <w:rPr>
          <w:i/>
        </w:rPr>
        <w:t xml:space="preserve">Subject Statement and Dispute Initiation </w:t>
      </w:r>
      <w:r>
        <w:t xml:space="preserve">form from the </w:t>
      </w:r>
      <w:r w:rsidR="00215499">
        <w:t>D</w:t>
      </w:r>
      <w:r w:rsidR="00B06C75">
        <w:t>ata</w:t>
      </w:r>
      <w:r w:rsidR="00215499">
        <w:t xml:space="preserve"> B</w:t>
      </w:r>
      <w:r w:rsidR="00B06C75">
        <w:t>ank</w:t>
      </w:r>
      <w:r>
        <w:t xml:space="preserve"> web site at </w:t>
      </w:r>
      <w:r w:rsidR="00813B7C">
        <w:t xml:space="preserve">www.npdb.hrsa.gov. </w:t>
      </w:r>
      <w:r>
        <w:t xml:space="preserve"> </w:t>
      </w:r>
    </w:p>
    <w:p w:rsidR="00B57397" w:rsidRDefault="00B57397" w:rsidP="00B57397">
      <w:pPr>
        <w:tabs>
          <w:tab w:val="left" w:pos="-1440"/>
          <w:tab w:val="left" w:pos="-720"/>
        </w:tabs>
        <w:suppressAutoHyphens/>
      </w:pPr>
    </w:p>
    <w:p w:rsidR="00B57397" w:rsidRDefault="00B57397" w:rsidP="00B57397">
      <w:pPr>
        <w:pStyle w:val="Heading2"/>
      </w:pPr>
      <w:r>
        <w:t xml:space="preserve">Who must query the </w:t>
      </w:r>
      <w:r w:rsidR="00B06C75">
        <w:t>Data Bank</w:t>
      </w:r>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A hospital must request information from the </w:t>
      </w:r>
      <w:r w:rsidR="00B06C75">
        <w:t>Data Bank</w:t>
      </w:r>
      <w:r>
        <w:t xml:space="preserve"> whenever a physician applies to the hospital for admission to the medical staff or for clinical privileges, and at least every two years for all physicians who are on the medical staff or have clinical privileges.</w:t>
      </w:r>
    </w:p>
    <w:p w:rsidR="00B57397" w:rsidRDefault="00B57397" w:rsidP="00B57397">
      <w:pPr>
        <w:tabs>
          <w:tab w:val="left" w:pos="-1440"/>
          <w:tab w:val="left" w:pos="-720"/>
        </w:tabs>
        <w:suppressAutoHyphens/>
      </w:pPr>
    </w:p>
    <w:p w:rsidR="00B57397" w:rsidRDefault="00B57397" w:rsidP="00B57397">
      <w:pPr>
        <w:pStyle w:val="Heading2"/>
      </w:pPr>
      <w:r>
        <w:t xml:space="preserve">Who else may query the </w:t>
      </w:r>
      <w:r w:rsidR="00B06C75">
        <w:t>Data Bank</w:t>
      </w:r>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persons or entities may query the </w:t>
      </w:r>
      <w:r w:rsidR="00B06C75">
        <w:t>Data Bank</w:t>
      </w:r>
      <w:r>
        <w:t xml:space="preserve"> for information concerning physicians:</w:t>
      </w:r>
    </w:p>
    <w:p w:rsidR="00B57397" w:rsidRDefault="00B57397" w:rsidP="00B57397">
      <w:pPr>
        <w:tabs>
          <w:tab w:val="left" w:pos="-1440"/>
          <w:tab w:val="left" w:pos="-720"/>
        </w:tabs>
        <w:suppressAutoHyphens/>
      </w:pPr>
    </w:p>
    <w:p w:rsidR="00EF0284" w:rsidRDefault="00EF0284" w:rsidP="001E4925">
      <w:pPr>
        <w:pStyle w:val="ListBullet"/>
      </w:pPr>
      <w:r>
        <w:t>A hospital that requests information concerning a physician who is on its Medical Staff (courtesy or otherwise) or has clinical privileges at the hospital.</w:t>
      </w:r>
    </w:p>
    <w:p w:rsidR="00254692" w:rsidRDefault="00254692" w:rsidP="00254692"/>
    <w:p w:rsidR="00B57397" w:rsidRDefault="00B57397" w:rsidP="001E4925">
      <w:pPr>
        <w:pStyle w:val="ListBullet"/>
      </w:pPr>
      <w:r>
        <w:lastRenderedPageBreak/>
        <w:t>Health care entities, including professional societies, when entering an employment relationship or other affiliation with a physician or in conjunction with professional review activities.</w:t>
      </w:r>
    </w:p>
    <w:p w:rsidR="00B57397" w:rsidRDefault="00B57397" w:rsidP="00B57397">
      <w:pPr>
        <w:tabs>
          <w:tab w:val="left" w:pos="-1440"/>
          <w:tab w:val="left" w:pos="-720"/>
        </w:tabs>
        <w:suppressAutoHyphens/>
      </w:pPr>
    </w:p>
    <w:p w:rsidR="00B57397" w:rsidRDefault="00B57397" w:rsidP="001E4925">
      <w:pPr>
        <w:pStyle w:val="ListBullet"/>
      </w:pPr>
      <w:r>
        <w:t>State licensing boards.</w:t>
      </w:r>
    </w:p>
    <w:p w:rsidR="00B57397" w:rsidRDefault="00B57397" w:rsidP="00B57397">
      <w:pPr>
        <w:tabs>
          <w:tab w:val="left" w:pos="-1440"/>
          <w:tab w:val="left" w:pos="-720"/>
        </w:tabs>
        <w:suppressAutoHyphens/>
      </w:pPr>
    </w:p>
    <w:p w:rsidR="00B57397" w:rsidRDefault="00B57397" w:rsidP="001E4925">
      <w:pPr>
        <w:pStyle w:val="ListBullet"/>
      </w:pPr>
      <w:r>
        <w:t>Physicians, but only for information about themselves.</w:t>
      </w:r>
    </w:p>
    <w:p w:rsidR="00B57397" w:rsidRDefault="00B57397" w:rsidP="00B57397">
      <w:pPr>
        <w:tabs>
          <w:tab w:val="left" w:pos="-1440"/>
          <w:tab w:val="left" w:pos="-720"/>
        </w:tabs>
        <w:suppressAutoHyphens/>
      </w:pPr>
    </w:p>
    <w:p w:rsidR="00B57397" w:rsidRDefault="00B57397" w:rsidP="001E4925">
      <w:pPr>
        <w:pStyle w:val="ListBullet"/>
      </w:pPr>
      <w:r>
        <w:t xml:space="preserve">Plaintiff attorneys, or individuals representing themselves, who have filed a medical malpractice action or claim against a hospital, who have named the physician on whom information requested in the action or claim, and who have demonstrated that the hospital failed to make a mandatory query to the </w:t>
      </w:r>
      <w:r w:rsidR="00B06C75">
        <w:t>Data Bank</w:t>
      </w:r>
      <w:r>
        <w:t xml:space="preserve"> regarding the physician.  Plaintiff attorneys or individuals representing themselves may only use the information with respect to litigation resulting from the action or claim against the hospital.</w:t>
      </w:r>
      <w:r w:rsidR="000D3682">
        <w:rPr>
          <w:rStyle w:val="FootnoteReference"/>
        </w:rPr>
        <w:footnoteReference w:id="27"/>
      </w:r>
    </w:p>
    <w:p w:rsidR="00254692" w:rsidRDefault="00254692" w:rsidP="00254692">
      <w:pPr>
        <w:ind w:left="720"/>
      </w:pPr>
    </w:p>
    <w:p w:rsidR="00254692" w:rsidRDefault="00EF0284" w:rsidP="00254692">
      <w:pPr>
        <w:pStyle w:val="ListParagraph"/>
        <w:numPr>
          <w:ilvl w:val="0"/>
          <w:numId w:val="5"/>
        </w:numPr>
      </w:pPr>
      <w:r>
        <w:t>A health care entity with respect to professional peer review activities.</w:t>
      </w:r>
    </w:p>
    <w:p w:rsidR="00254692" w:rsidRDefault="00254692" w:rsidP="00254692">
      <w:pPr>
        <w:pStyle w:val="ListParagraph"/>
      </w:pPr>
    </w:p>
    <w:p w:rsidR="00254692" w:rsidRDefault="00EF0284" w:rsidP="00254692">
      <w:pPr>
        <w:pStyle w:val="ListParagraph"/>
        <w:numPr>
          <w:ilvl w:val="0"/>
          <w:numId w:val="5"/>
        </w:numPr>
      </w:pPr>
      <w:r>
        <w:t>A person requesting statistical information, in a form which does not permit the identification of the affected individual or entity.</w:t>
      </w:r>
    </w:p>
    <w:p w:rsidR="00254692" w:rsidRDefault="00254692" w:rsidP="00254692"/>
    <w:p w:rsidR="00254692" w:rsidRDefault="00B57397" w:rsidP="00E92EB4">
      <w:pPr>
        <w:ind w:firstLine="720"/>
      </w:pPr>
      <w:r>
        <w:t xml:space="preserve">Medical malpractice payors may not query the </w:t>
      </w:r>
      <w:r w:rsidR="00B06C75">
        <w:t>Data Bank</w:t>
      </w:r>
      <w:r>
        <w:t xml:space="preserve"> at any time.</w:t>
      </w:r>
    </w:p>
    <w:p w:rsidR="00B57397" w:rsidRDefault="00B57397" w:rsidP="00B57397"/>
    <w:p w:rsidR="00B57397" w:rsidRDefault="00B57397" w:rsidP="00B57397"/>
    <w:sectPr w:rsidR="00B5739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9" w:author="dpm" w:date="2013-08-12T16:10:00Z" w:initials="dpm">
    <w:p w:rsidR="00173DC1" w:rsidRDefault="00173DC1" w:rsidP="00FC1368">
      <w:pPr>
        <w:pStyle w:val="CommentText"/>
      </w:pPr>
      <w:r>
        <w:rPr>
          <w:rStyle w:val="CommentReference"/>
        </w:rPr>
        <w:annotationRef/>
      </w:r>
      <w:r>
        <w:t xml:space="preserve">Double check that all of the entities which must report listed on the web page are included in this list. You can reorganize this list to comport with the web page list.  You might also look up the statutory cite for who must report in the NPDB statute and the HIPDB statute so we have that down as well. </w:t>
      </w:r>
    </w:p>
  </w:comment>
  <w:comment w:id="83" w:author="dpm" w:date="2013-08-12T15:35:00Z" w:initials="dpm">
    <w:p w:rsidR="00173DC1" w:rsidRDefault="00173DC1" w:rsidP="00D858DD">
      <w:pPr>
        <w:pStyle w:val="CommentText"/>
      </w:pPr>
      <w:r>
        <w:rPr>
          <w:rStyle w:val="CommentReference"/>
        </w:rPr>
        <w:annotationRef/>
      </w:r>
      <w:r>
        <w:t>Is this a new question?</w:t>
      </w:r>
    </w:p>
  </w:comment>
  <w:comment w:id="84" w:author="Tierney Edwards" w:date="2013-08-27T08:59:00Z" w:initials="TE">
    <w:p w:rsidR="00173DC1" w:rsidRDefault="00173DC1">
      <w:pPr>
        <w:pStyle w:val="CommentText"/>
      </w:pPr>
      <w:r>
        <w:rPr>
          <w:rStyle w:val="CommentReference"/>
        </w:rPr>
        <w:annotationRef/>
      </w:r>
      <w:r>
        <w:t>Yes, it is a new question &amp; answer.</w:t>
      </w:r>
    </w:p>
  </w:comment>
  <w:comment w:id="85" w:author="Tierney Edwards" w:date="2013-08-12T13:52:00Z" w:initials="TE">
    <w:p w:rsidR="00173DC1" w:rsidRDefault="00173DC1">
      <w:pPr>
        <w:pStyle w:val="CommentText"/>
      </w:pPr>
      <w:r>
        <w:rPr>
          <w:rStyle w:val="CommentReference"/>
        </w:rPr>
        <w:annotationRef/>
      </w:r>
      <w:r>
        <w:t xml:space="preserve">NEW TABLE. If you don’t think it is helpful </w:t>
      </w:r>
      <w:proofErr w:type="gramStart"/>
      <w:r>
        <w:t>we  can</w:t>
      </w:r>
      <w:proofErr w:type="gramEnd"/>
      <w:r>
        <w:t xml:space="preserve"> nix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DC1" w:rsidRDefault="00173DC1" w:rsidP="00B0754E">
      <w:r>
        <w:separator/>
      </w:r>
    </w:p>
  </w:endnote>
  <w:endnote w:type="continuationSeparator" w:id="0">
    <w:p w:rsidR="00173DC1" w:rsidRDefault="00173DC1" w:rsidP="00B075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DC1" w:rsidRDefault="00173DC1" w:rsidP="00B0754E">
      <w:r>
        <w:separator/>
      </w:r>
    </w:p>
  </w:footnote>
  <w:footnote w:type="continuationSeparator" w:id="0">
    <w:p w:rsidR="00173DC1" w:rsidRDefault="00173DC1" w:rsidP="00B0754E">
      <w:r>
        <w:continuationSeparator/>
      </w:r>
    </w:p>
  </w:footnote>
  <w:footnote w:id="1">
    <w:p w:rsidR="00173DC1" w:rsidRDefault="00173DC1">
      <w:pPr>
        <w:pStyle w:val="FootnoteText"/>
      </w:pPr>
      <w:r>
        <w:rPr>
          <w:rStyle w:val="FootnoteReference"/>
        </w:rPr>
        <w:footnoteRef/>
      </w:r>
      <w:r>
        <w:t xml:space="preserve"> </w:t>
      </w:r>
      <w:ins w:id="1" w:author="Tierney Edwards" w:date="2013-08-27T08:46:00Z">
        <w:r w:rsidRPr="00711B4D">
          <w:t>78</w:t>
        </w:r>
        <w:r>
          <w:t xml:space="preserve"> </w:t>
        </w:r>
      </w:ins>
      <w:r>
        <w:t xml:space="preserve">FR </w:t>
      </w:r>
      <w:del w:id="2" w:author="Tierney Edwards" w:date="2013-08-27T08:46:00Z">
        <w:r w:rsidDel="00711B4D">
          <w:delText>78</w:delText>
        </w:r>
      </w:del>
      <w:r>
        <w:t xml:space="preserve"> 20473-20495 (April 5, 2013).</w:t>
      </w:r>
    </w:p>
  </w:footnote>
  <w:footnote w:id="2">
    <w:p w:rsidR="00173DC1" w:rsidRDefault="00173DC1" w:rsidP="001E4925">
      <w:pPr>
        <w:pStyle w:val="FootnoteText"/>
      </w:pPr>
      <w:r>
        <w:rPr>
          <w:rStyle w:val="FootnoteReference"/>
        </w:rPr>
        <w:footnoteRef/>
      </w:r>
      <w:r>
        <w:t xml:space="preserve"> 45 </w:t>
      </w:r>
      <w:r w:rsidRPr="00C3242C">
        <w:t xml:space="preserve">CFR </w:t>
      </w:r>
      <w:r w:rsidRPr="00CA2D34">
        <w:rPr>
          <w:rStyle w:val="aref"/>
        </w:rPr>
        <w:t>§</w:t>
      </w:r>
      <w:r w:rsidRPr="00C3242C">
        <w:t xml:space="preserve">60.2; </w:t>
      </w:r>
      <w:ins w:id="3" w:author="Tierney Edwards" w:date="2013-08-27T08:46:00Z">
        <w:r w:rsidRPr="00711B4D">
          <w:t>78</w:t>
        </w:r>
        <w:r>
          <w:t xml:space="preserve"> </w:t>
        </w:r>
      </w:ins>
      <w:r w:rsidRPr="00C3242C">
        <w:t>FR</w:t>
      </w:r>
      <w:r>
        <w:t xml:space="preserve"> </w:t>
      </w:r>
      <w:del w:id="4" w:author="Tierney Edwards" w:date="2013-08-27T08:46:00Z">
        <w:r w:rsidDel="00711B4D">
          <w:delText>78</w:delText>
        </w:r>
      </w:del>
      <w:r>
        <w:t xml:space="preserve"> 47322 (Aug. 5, 2013).</w:t>
      </w:r>
    </w:p>
  </w:footnote>
  <w:footnote w:id="3">
    <w:p w:rsidR="00173DC1" w:rsidRPr="00E05E54" w:rsidRDefault="00173DC1" w:rsidP="001E4925">
      <w:pPr>
        <w:pStyle w:val="FootnoteText"/>
      </w:pPr>
      <w:r>
        <w:rPr>
          <w:rStyle w:val="FootnoteReference"/>
        </w:rPr>
        <w:footnoteRef/>
      </w:r>
      <w:r>
        <w:t xml:space="preserve"> U.S, Dep’t of Health and Human Services website, </w:t>
      </w:r>
      <w:r>
        <w:rPr>
          <w:i/>
        </w:rPr>
        <w:t xml:space="preserve">The Data Bank – </w:t>
      </w:r>
      <w:proofErr w:type="gramStart"/>
      <w:r>
        <w:rPr>
          <w:i/>
        </w:rPr>
        <w:t>About</w:t>
      </w:r>
      <w:proofErr w:type="gramEnd"/>
      <w:r>
        <w:rPr>
          <w:i/>
        </w:rPr>
        <w:t xml:space="preserve"> Us,</w:t>
      </w:r>
      <w:r>
        <w:t xml:space="preserve"> accessed Aug. 8, 2013 at: </w:t>
      </w:r>
      <w:r w:rsidRPr="00E05E54">
        <w:t>http://www.npdb-hipdb.hrsa.gov/topNavigation/aboutUs.jsp</w:t>
      </w:r>
      <w:r>
        <w:t>.</w:t>
      </w:r>
    </w:p>
  </w:footnote>
  <w:footnote w:id="4">
    <w:p w:rsidR="00173DC1" w:rsidRDefault="00173DC1">
      <w:pPr>
        <w:pStyle w:val="FootnoteText"/>
      </w:pPr>
      <w:r>
        <w:rPr>
          <w:rStyle w:val="FootnoteReference"/>
        </w:rPr>
        <w:footnoteRef/>
      </w:r>
      <w:r>
        <w:t xml:space="preserve"> </w:t>
      </w:r>
      <w:del w:id="5" w:author="Tierney Edwards" w:date="2013-08-27T08:45:00Z">
        <w:r w:rsidDel="00711B4D">
          <w:delText>45 CFR</w:delText>
        </w:r>
      </w:del>
      <w:ins w:id="6" w:author="Tierney Edwards" w:date="2013-08-27T08:45:00Z">
        <w:r>
          <w:t>-</w:t>
        </w:r>
      </w:ins>
      <w:ins w:id="7" w:author="Tierney Edwards" w:date="2013-08-27T08:46:00Z">
        <w:r w:rsidRPr="00711B4D">
          <w:t>78</w:t>
        </w:r>
        <w:r>
          <w:t xml:space="preserve"> </w:t>
        </w:r>
      </w:ins>
      <w:ins w:id="8" w:author="Tierney Edwards" w:date="2013-08-27T08:45:00Z">
        <w:r>
          <w:t xml:space="preserve">FR  </w:t>
        </w:r>
      </w:ins>
      <w:ins w:id="9" w:author="Tierney Edwards" w:date="2013-08-27T08:46:00Z">
        <w:r>
          <w:t xml:space="preserve">20476 </w:t>
        </w:r>
      </w:ins>
      <w:ins w:id="10" w:author="Tierney Edwards" w:date="2013-08-27T08:45:00Z">
        <w:r>
          <w:t>(April 5, 2013)</w:t>
        </w:r>
      </w:ins>
      <w:ins w:id="11" w:author="Tierney Edwards" w:date="2013-08-27T08:47:00Z">
        <w:r>
          <w:t xml:space="preserve"> (</w:t>
        </w:r>
      </w:ins>
      <w:ins w:id="12" w:author="Tierney Edwards" w:date="2013-08-27T08:51:00Z">
        <w:r>
          <w:t>45 C.F.R. § 60</w:t>
        </w:r>
      </w:ins>
      <w:ins w:id="13" w:author="Tierney Edwards" w:date="2013-08-27T08:53:00Z">
        <w:r>
          <w:t>.2</w:t>
        </w:r>
      </w:ins>
      <w:ins w:id="14" w:author="Tierney Edwards" w:date="2013-08-27T08:51:00Z">
        <w:r>
          <w:t>)</w:t>
        </w:r>
      </w:ins>
      <w:ins w:id="15" w:author="Tierney Edwards" w:date="2013-08-27T08:53:00Z">
        <w:r>
          <w:t>.</w:t>
        </w:r>
      </w:ins>
      <w:del w:id="16" w:author="Tierney Edwards" w:date="2013-08-27T08:47:00Z">
        <w:r w:rsidDel="00711B4D">
          <w:delText xml:space="preserve"> </w:delText>
        </w:r>
      </w:del>
    </w:p>
  </w:footnote>
  <w:footnote w:id="5">
    <w:p w:rsidR="00173DC1" w:rsidRDefault="00173DC1" w:rsidP="00D858DD">
      <w:pPr>
        <w:pStyle w:val="FootnoteText"/>
      </w:pPr>
      <w:r w:rsidRPr="000D1F36">
        <w:rPr>
          <w:rStyle w:val="FootnoteReference"/>
        </w:rPr>
        <w:footnoteRef/>
      </w:r>
      <w:r w:rsidRPr="000D1F36">
        <w:t xml:space="preserve"> U.S, Dep’t of Health and Human Services website, </w:t>
      </w:r>
      <w:r w:rsidRPr="000D1F36">
        <w:rPr>
          <w:i/>
        </w:rPr>
        <w:t>Resources – Reference Library,</w:t>
      </w:r>
      <w:r w:rsidRPr="000D1F36">
        <w:t xml:space="preserve"> accessed Aug. 8, 2013 at: </w:t>
      </w:r>
      <w:hyperlink r:id="rId1" w:history="1">
        <w:r w:rsidRPr="0092185A">
          <w:rPr>
            <w:rStyle w:val="Hyperlink"/>
          </w:rPr>
          <w:t>http://www.npdb-hipdb.hrsa.gov/resources/npdbMerge.jsp</w:t>
        </w:r>
      </w:hyperlink>
      <w:r>
        <w:t xml:space="preserve">; </w:t>
      </w:r>
      <w:ins w:id="17" w:author="Tierney Edwards" w:date="2013-08-27T08:46:00Z">
        <w:r w:rsidRPr="00711B4D">
          <w:t>78</w:t>
        </w:r>
        <w:r>
          <w:t xml:space="preserve"> </w:t>
        </w:r>
      </w:ins>
      <w:r>
        <w:t xml:space="preserve">FR </w:t>
      </w:r>
      <w:del w:id="18" w:author="Tierney Edwards" w:date="2013-08-27T08:46:00Z">
        <w:r w:rsidDel="00711B4D">
          <w:delText>78</w:delText>
        </w:r>
      </w:del>
      <w:r>
        <w:t xml:space="preserve"> 47323 (Aug. 5, 2013).</w:t>
      </w:r>
    </w:p>
  </w:footnote>
  <w:footnote w:id="6">
    <w:p w:rsidR="00173DC1" w:rsidRDefault="00173DC1" w:rsidP="00CA53D9">
      <w:pPr>
        <w:pStyle w:val="FootnoteText"/>
      </w:pPr>
      <w:r>
        <w:rPr>
          <w:rStyle w:val="FootnoteReference"/>
        </w:rPr>
        <w:footnoteRef/>
      </w:r>
      <w:r>
        <w:t xml:space="preserve"> </w:t>
      </w:r>
      <w:r>
        <w:rPr>
          <w:i/>
        </w:rPr>
        <w:t>Id</w:t>
      </w:r>
      <w:r>
        <w:t>.</w:t>
      </w:r>
    </w:p>
  </w:footnote>
  <w:footnote w:id="7">
    <w:p w:rsidR="00173DC1" w:rsidRPr="00E727EE" w:rsidDel="00165F08" w:rsidRDefault="00173DC1">
      <w:pPr>
        <w:pStyle w:val="FootnoteText"/>
        <w:rPr>
          <w:del w:id="20" w:author="Tierney Edwards" w:date="2013-08-27T08:54:00Z"/>
        </w:rPr>
      </w:pPr>
      <w:del w:id="21" w:author="Tierney Edwards" w:date="2013-08-27T08:54:00Z">
        <w:r w:rsidDel="00165F08">
          <w:rPr>
            <w:rStyle w:val="FootnoteReference"/>
          </w:rPr>
          <w:footnoteRef/>
        </w:r>
        <w:r w:rsidDel="00165F08">
          <w:delText xml:space="preserve"> </w:delText>
        </w:r>
        <w:r w:rsidDel="00165F08">
          <w:rPr>
            <w:color w:val="333333"/>
          </w:rPr>
          <w:delText>78 FR 20484 (</w:delText>
        </w:r>
        <w:r w:rsidRPr="00CA2D34" w:rsidDel="00165F08">
          <w:rPr>
            <w:color w:val="333333"/>
          </w:rPr>
          <w:delText>April 5, 2013</w:delText>
        </w:r>
        <w:r w:rsidDel="00165F08">
          <w:rPr>
            <w:color w:val="333333"/>
          </w:rPr>
          <w:delText>)</w:delText>
        </w:r>
      </w:del>
      <w:ins w:id="22" w:author="Tierney Edwards" w:date="2013-08-27T08:54:00Z">
        <w:del w:id="23" w:author="Tierney Edwards" w:date="2013-08-27T08:54:00Z">
          <w:r w:rsidDel="00165F08">
            <w:rPr>
              <w:color w:val="333333"/>
            </w:rPr>
            <w:delText>;</w:delText>
          </w:r>
        </w:del>
      </w:ins>
      <w:del w:id="24" w:author="Tierney Edwards" w:date="2013-08-27T08:54:00Z">
        <w:r w:rsidRPr="00CA2D34" w:rsidDel="00165F08">
          <w:rPr>
            <w:color w:val="333333"/>
          </w:rPr>
          <w:delText>,</w:delText>
        </w:r>
        <w:r w:rsidRPr="00CA2D34" w:rsidDel="00165F08">
          <w:rPr>
            <w:color w:val="333333"/>
          </w:rPr>
          <w:delText xml:space="preserve"> 78 FR 25860</w:delText>
        </w:r>
        <w:r w:rsidDel="00165F08">
          <w:rPr>
            <w:color w:val="333333"/>
          </w:rPr>
          <w:delText xml:space="preserve"> (</w:delText>
        </w:r>
        <w:r w:rsidRPr="00CA2D34" w:rsidDel="00165F08">
          <w:rPr>
            <w:color w:val="333333"/>
          </w:rPr>
          <w:delText>May 6, 2013</w:delText>
        </w:r>
        <w:r w:rsidDel="00165F08">
          <w:rPr>
            <w:color w:val="333333"/>
          </w:rPr>
          <w:delText>)</w:delText>
        </w:r>
        <w:r w:rsidRPr="00CA2D34" w:rsidDel="00165F08">
          <w:delText>.</w:delText>
        </w:r>
      </w:del>
    </w:p>
  </w:footnote>
  <w:footnote w:id="8">
    <w:p w:rsidR="00173DC1" w:rsidRPr="00E727EE" w:rsidRDefault="00173DC1" w:rsidP="00D77198">
      <w:pPr>
        <w:pStyle w:val="FootnoteText"/>
        <w:rPr>
          <w:ins w:id="26" w:author="Tierney Edwards" w:date="2013-08-27T09:15:00Z"/>
        </w:rPr>
      </w:pPr>
      <w:ins w:id="27" w:author="Tierney Edwards" w:date="2013-08-27T09:15:00Z">
        <w:r>
          <w:rPr>
            <w:rStyle w:val="FootnoteReference"/>
          </w:rPr>
          <w:footnoteRef/>
        </w:r>
        <w:r>
          <w:t xml:space="preserve"> </w:t>
        </w:r>
        <w:proofErr w:type="gramStart"/>
        <w:r>
          <w:rPr>
            <w:color w:val="333333"/>
          </w:rPr>
          <w:t xml:space="preserve">78 FR </w:t>
        </w:r>
      </w:ins>
      <w:ins w:id="28" w:author="Tierney Edwards" w:date="2013-08-27T09:18:00Z">
        <w:r>
          <w:rPr>
            <w:color w:val="333333"/>
          </w:rPr>
          <w:t>20475-</w:t>
        </w:r>
      </w:ins>
      <w:ins w:id="29" w:author="Tierney Edwards" w:date="2013-08-27T09:15:00Z">
        <w:r>
          <w:rPr>
            <w:color w:val="333333"/>
          </w:rPr>
          <w:t>20</w:t>
        </w:r>
      </w:ins>
      <w:ins w:id="30" w:author="Tierney Edwards" w:date="2013-08-27T09:18:00Z">
        <w:r>
          <w:rPr>
            <w:color w:val="333333"/>
          </w:rPr>
          <w:t>476</w:t>
        </w:r>
      </w:ins>
      <w:ins w:id="31" w:author="Tierney Edwards" w:date="2013-08-27T09:15:00Z">
        <w:r>
          <w:rPr>
            <w:color w:val="333333"/>
          </w:rPr>
          <w:t xml:space="preserve"> (</w:t>
        </w:r>
        <w:r w:rsidRPr="00CA2D34">
          <w:rPr>
            <w:color w:val="333333"/>
          </w:rPr>
          <w:t>April 5, 2013</w:t>
        </w:r>
        <w:r>
          <w:rPr>
            <w:color w:val="333333"/>
          </w:rPr>
          <w:t>),</w:t>
        </w:r>
        <w:r w:rsidRPr="00CA2D34">
          <w:rPr>
            <w:color w:val="333333"/>
          </w:rPr>
          <w:t xml:space="preserve"> </w:t>
        </w:r>
        <w:r w:rsidRPr="00165F08">
          <w:rPr>
            <w:color w:val="333333"/>
          </w:rPr>
          <w:t xml:space="preserve">(45 C.F.R. </w:t>
        </w:r>
        <w:r>
          <w:rPr>
            <w:color w:val="333333"/>
          </w:rPr>
          <w:t>§ 61.2- § 61.3</w:t>
        </w:r>
        <w:r w:rsidRPr="00165F08">
          <w:rPr>
            <w:color w:val="333333"/>
          </w:rPr>
          <w:t>).</w:t>
        </w:r>
        <w:proofErr w:type="gramEnd"/>
      </w:ins>
    </w:p>
  </w:footnote>
  <w:footnote w:id="9">
    <w:p w:rsidR="00173DC1" w:rsidRDefault="00173DC1">
      <w:pPr>
        <w:pStyle w:val="FootnoteText"/>
      </w:pPr>
      <w:ins w:id="37" w:author="Tierney Edwards" w:date="2013-08-27T09:29:00Z">
        <w:r>
          <w:rPr>
            <w:rStyle w:val="FootnoteReference"/>
          </w:rPr>
          <w:footnoteRef/>
        </w:r>
        <w:r>
          <w:t xml:space="preserve"> </w:t>
        </w:r>
      </w:ins>
      <w:ins w:id="38" w:author="Tierney Edwards" w:date="2013-08-27T09:44:00Z">
        <w:r w:rsidRPr="00F23972">
          <w:t>42 USC § 1320(b</w:t>
        </w:r>
        <w:proofErr w:type="gramStart"/>
        <w:r w:rsidRPr="00F23972">
          <w:t>)(</w:t>
        </w:r>
        <w:proofErr w:type="gramEnd"/>
        <w:r w:rsidRPr="00F23972">
          <w:t>1).</w:t>
        </w:r>
      </w:ins>
    </w:p>
  </w:footnote>
  <w:footnote w:id="10">
    <w:p w:rsidR="00173DC1" w:rsidRDefault="00173DC1">
      <w:pPr>
        <w:pStyle w:val="FootnoteText"/>
      </w:pPr>
      <w:ins w:id="40" w:author="Tierney Edwards" w:date="2013-08-27T09:28:00Z">
        <w:r>
          <w:rPr>
            <w:rStyle w:val="FootnoteReference"/>
          </w:rPr>
          <w:footnoteRef/>
        </w:r>
        <w:r>
          <w:t xml:space="preserve"> </w:t>
        </w:r>
      </w:ins>
      <w:ins w:id="41" w:author="Tierney Edwards" w:date="2013-08-27T10:08:00Z">
        <w:r w:rsidR="003C5133" w:rsidRPr="003C5133">
          <w:rPr>
            <w:i/>
          </w:rPr>
          <w:t>Id</w:t>
        </w:r>
        <w:r w:rsidR="003C5133" w:rsidRPr="003C5133">
          <w:t>.</w:t>
        </w:r>
      </w:ins>
    </w:p>
  </w:footnote>
  <w:footnote w:id="11">
    <w:p w:rsidR="00173DC1" w:rsidRDefault="00173DC1">
      <w:pPr>
        <w:pStyle w:val="FootnoteText"/>
      </w:pPr>
      <w:ins w:id="43" w:author="Tierney Edwards" w:date="2013-08-27T09:29:00Z">
        <w:r>
          <w:rPr>
            <w:rStyle w:val="FootnoteReference"/>
          </w:rPr>
          <w:footnoteRef/>
        </w:r>
        <w:r>
          <w:t xml:space="preserve"> </w:t>
        </w:r>
      </w:ins>
      <w:ins w:id="44" w:author="Tierney Edwards" w:date="2013-08-27T10:08:00Z">
        <w:r w:rsidR="003C5133" w:rsidRPr="003C5133">
          <w:rPr>
            <w:i/>
          </w:rPr>
          <w:t>Id</w:t>
        </w:r>
        <w:r w:rsidR="003C5133" w:rsidRPr="003C5133">
          <w:t>.</w:t>
        </w:r>
      </w:ins>
    </w:p>
  </w:footnote>
  <w:footnote w:id="12">
    <w:p w:rsidR="00173DC1" w:rsidRDefault="00173DC1">
      <w:pPr>
        <w:pStyle w:val="FootnoteText"/>
      </w:pPr>
      <w:ins w:id="46" w:author="Tierney Edwards" w:date="2013-08-27T09:28:00Z">
        <w:r>
          <w:rPr>
            <w:rStyle w:val="FootnoteReference"/>
          </w:rPr>
          <w:footnoteRef/>
        </w:r>
        <w:r>
          <w:t xml:space="preserve"> </w:t>
        </w:r>
      </w:ins>
      <w:ins w:id="47" w:author="Tierney Edwards" w:date="2013-08-27T10:08:00Z">
        <w:r w:rsidR="003C5133" w:rsidRPr="003C5133">
          <w:rPr>
            <w:i/>
          </w:rPr>
          <w:t>Id</w:t>
        </w:r>
        <w:r w:rsidR="003C5133" w:rsidRPr="003C5133">
          <w:t>.</w:t>
        </w:r>
      </w:ins>
    </w:p>
  </w:footnote>
  <w:footnote w:id="13">
    <w:p w:rsidR="00173DC1" w:rsidRDefault="00173DC1">
      <w:pPr>
        <w:pStyle w:val="FootnoteText"/>
      </w:pPr>
      <w:ins w:id="49" w:author="Tierney Edwards" w:date="2013-08-27T09:30:00Z">
        <w:r>
          <w:rPr>
            <w:rStyle w:val="FootnoteReference"/>
          </w:rPr>
          <w:footnoteRef/>
        </w:r>
        <w:r>
          <w:t xml:space="preserve"> </w:t>
        </w:r>
        <w:proofErr w:type="gramStart"/>
        <w:r w:rsidRPr="00891514">
          <w:t>Social Security Act § 1921 (amending 42 U.S.C. 1396r–2).</w:t>
        </w:r>
      </w:ins>
      <w:proofErr w:type="gramEnd"/>
    </w:p>
  </w:footnote>
  <w:footnote w:id="14">
    <w:p w:rsidR="00173DC1" w:rsidRDefault="00173DC1">
      <w:pPr>
        <w:pStyle w:val="FootnoteText"/>
      </w:pPr>
      <w:ins w:id="51" w:author="Tierney Edwards" w:date="2013-08-27T09:30:00Z">
        <w:r>
          <w:rPr>
            <w:rStyle w:val="FootnoteReference"/>
          </w:rPr>
          <w:footnoteRef/>
        </w:r>
        <w:r>
          <w:t xml:space="preserve"> </w:t>
        </w:r>
      </w:ins>
      <w:ins w:id="52" w:author="Tierney Edwards" w:date="2013-08-27T10:07:00Z">
        <w:r w:rsidR="003C5133">
          <w:rPr>
            <w:i/>
          </w:rPr>
          <w:t>Id</w:t>
        </w:r>
      </w:ins>
      <w:ins w:id="53" w:author="Tierney Edwards" w:date="2013-08-27T09:30:00Z">
        <w:r w:rsidRPr="006940C4">
          <w:t>.</w:t>
        </w:r>
      </w:ins>
    </w:p>
  </w:footnote>
  <w:footnote w:id="15">
    <w:p w:rsidR="00173DC1" w:rsidRDefault="00173DC1">
      <w:pPr>
        <w:pStyle w:val="FootnoteText"/>
      </w:pPr>
      <w:ins w:id="55" w:author="Tierney Edwards" w:date="2013-08-27T09:31:00Z">
        <w:r>
          <w:rPr>
            <w:rStyle w:val="FootnoteReference"/>
          </w:rPr>
          <w:footnoteRef/>
        </w:r>
        <w:r>
          <w:t xml:space="preserve"> </w:t>
        </w:r>
      </w:ins>
      <w:ins w:id="56" w:author="Tierney Edwards" w:date="2013-08-27T10:07:00Z">
        <w:r w:rsidR="003C5133" w:rsidRPr="003C5133">
          <w:rPr>
            <w:i/>
          </w:rPr>
          <w:t>Id</w:t>
        </w:r>
        <w:r w:rsidR="003C5133" w:rsidRPr="003C5133">
          <w:t>.</w:t>
        </w:r>
      </w:ins>
    </w:p>
  </w:footnote>
  <w:footnote w:id="16">
    <w:p w:rsidR="00173DC1" w:rsidRDefault="00173DC1">
      <w:pPr>
        <w:pStyle w:val="FootnoteText"/>
      </w:pPr>
      <w:ins w:id="58" w:author="Tierney Edwards" w:date="2013-08-27T09:31:00Z">
        <w:r>
          <w:rPr>
            <w:rStyle w:val="FootnoteReference"/>
          </w:rPr>
          <w:footnoteRef/>
        </w:r>
        <w:r>
          <w:t xml:space="preserve"> </w:t>
        </w:r>
      </w:ins>
      <w:ins w:id="59" w:author="Tierney Edwards" w:date="2013-08-27T10:07:00Z">
        <w:r w:rsidR="003C5133" w:rsidRPr="003C5133">
          <w:rPr>
            <w:i/>
          </w:rPr>
          <w:t>Id</w:t>
        </w:r>
        <w:r w:rsidR="003C5133" w:rsidRPr="003C5133">
          <w:t>.</w:t>
        </w:r>
      </w:ins>
    </w:p>
  </w:footnote>
  <w:footnote w:id="17">
    <w:p w:rsidR="00173DC1" w:rsidRDefault="00173DC1">
      <w:pPr>
        <w:pStyle w:val="FootnoteText"/>
      </w:pPr>
      <w:ins w:id="63" w:author="Tierney Edwards" w:date="2013-08-27T09:26:00Z">
        <w:r>
          <w:rPr>
            <w:rStyle w:val="FootnoteReference"/>
          </w:rPr>
          <w:footnoteRef/>
        </w:r>
        <w:r>
          <w:t xml:space="preserve"> </w:t>
        </w:r>
      </w:ins>
      <w:ins w:id="64" w:author="Tierney Edwards" w:date="2013-08-27T10:08:00Z">
        <w:r w:rsidR="003C5133" w:rsidRPr="003C5133">
          <w:rPr>
            <w:i/>
            <w:color w:val="333333"/>
          </w:rPr>
          <w:t>Id</w:t>
        </w:r>
        <w:r w:rsidR="003C5133" w:rsidRPr="003C5133">
          <w:rPr>
            <w:color w:val="333333"/>
          </w:rPr>
          <w:t>.</w:t>
        </w:r>
      </w:ins>
    </w:p>
  </w:footnote>
  <w:footnote w:id="18">
    <w:p w:rsidR="00173DC1" w:rsidRDefault="00173DC1">
      <w:pPr>
        <w:pStyle w:val="FootnoteText"/>
      </w:pPr>
      <w:ins w:id="66" w:author="Tierney Edwards" w:date="2013-08-27T09:31:00Z">
        <w:r>
          <w:rPr>
            <w:rStyle w:val="FootnoteReference"/>
          </w:rPr>
          <w:footnoteRef/>
        </w:r>
        <w:r>
          <w:t xml:space="preserve"> </w:t>
        </w:r>
        <w:proofErr w:type="gramStart"/>
        <w:r w:rsidRPr="00891514">
          <w:t>Social Security Act §</w:t>
        </w:r>
        <w:r>
          <w:t xml:space="preserve"> 1128E</w:t>
        </w:r>
      </w:ins>
      <w:ins w:id="67" w:author="Tierney Edwards" w:date="2013-08-27T09:32:00Z">
        <w:r>
          <w:t>.</w:t>
        </w:r>
      </w:ins>
      <w:proofErr w:type="gramEnd"/>
    </w:p>
  </w:footnote>
  <w:footnote w:id="19">
    <w:p w:rsidR="00173DC1" w:rsidRDefault="00173DC1" w:rsidP="00F23972">
      <w:pPr>
        <w:pStyle w:val="FootnoteText"/>
        <w:rPr>
          <w:ins w:id="69" w:author="Tierney Edwards" w:date="2013-08-27T09:29:00Z"/>
        </w:rPr>
      </w:pPr>
      <w:ins w:id="70" w:author="Tierney Edwards" w:date="2013-08-27T09:29:00Z">
        <w:r>
          <w:rPr>
            <w:rStyle w:val="FootnoteReference"/>
          </w:rPr>
          <w:footnoteRef/>
        </w:r>
        <w:r>
          <w:t xml:space="preserve"> </w:t>
        </w:r>
      </w:ins>
      <w:ins w:id="71" w:author="Tierney Edwards" w:date="2013-08-27T10:10:00Z">
        <w:r w:rsidR="003C5133">
          <w:rPr>
            <w:i/>
          </w:rPr>
          <w:t>Supra</w:t>
        </w:r>
        <w:r w:rsidR="003C5133">
          <w:t xml:space="preserve"> note 9.</w:t>
        </w:r>
      </w:ins>
    </w:p>
  </w:footnote>
  <w:footnote w:id="20">
    <w:p w:rsidR="00173DC1" w:rsidRDefault="00173DC1">
      <w:pPr>
        <w:pStyle w:val="FootnoteText"/>
      </w:pPr>
      <w:ins w:id="73" w:author="Tierney Edwards" w:date="2013-08-27T09:32:00Z">
        <w:r>
          <w:rPr>
            <w:rStyle w:val="FootnoteReference"/>
          </w:rPr>
          <w:footnoteRef/>
        </w:r>
        <w:r>
          <w:t xml:space="preserve"> </w:t>
        </w:r>
      </w:ins>
      <w:ins w:id="74" w:author="Tierney Edwards" w:date="2013-08-27T10:10:00Z">
        <w:r w:rsidR="003C5133" w:rsidRPr="003C5133">
          <w:rPr>
            <w:i/>
          </w:rPr>
          <w:t>Supra</w:t>
        </w:r>
        <w:r w:rsidR="003C5133">
          <w:t xml:space="preserve"> note 18</w:t>
        </w:r>
      </w:ins>
      <w:ins w:id="75" w:author="Tierney Edwards" w:date="2013-08-27T09:32:00Z">
        <w:r>
          <w:t>.</w:t>
        </w:r>
      </w:ins>
    </w:p>
  </w:footnote>
  <w:footnote w:id="21">
    <w:p w:rsidR="00173DC1" w:rsidRPr="008D685D" w:rsidRDefault="00173DC1" w:rsidP="00FC1368">
      <w:pPr>
        <w:pStyle w:val="FootnoteText"/>
      </w:pPr>
      <w:r w:rsidRPr="00E727EE">
        <w:rPr>
          <w:rStyle w:val="FootnoteReference"/>
        </w:rPr>
        <w:footnoteRef/>
      </w:r>
      <w:r w:rsidRPr="00E727EE">
        <w:t xml:space="preserve"> </w:t>
      </w:r>
      <w:ins w:id="77" w:author="Tierney Edwards" w:date="2013-08-27T10:05:00Z">
        <w:r w:rsidR="00721354">
          <w:rPr>
            <w:color w:val="333333"/>
          </w:rPr>
          <w:t>78 FR 20475-20476 (</w:t>
        </w:r>
        <w:r w:rsidR="00721354" w:rsidRPr="00CA2D34">
          <w:rPr>
            <w:color w:val="333333"/>
          </w:rPr>
          <w:t>April 5, 2013</w:t>
        </w:r>
        <w:r w:rsidR="00721354">
          <w:rPr>
            <w:color w:val="333333"/>
          </w:rPr>
          <w:t>)</w:t>
        </w:r>
      </w:ins>
      <w:ins w:id="78" w:author="Tierney Edwards" w:date="2013-08-27T09:15:00Z">
        <w:r>
          <w:t xml:space="preserve">; </w:t>
        </w:r>
      </w:ins>
      <w:r w:rsidRPr="00E727EE">
        <w:t xml:space="preserve">U.S, Dep’t of Health and Human Services website, </w:t>
      </w:r>
      <w:r w:rsidRPr="00E727EE">
        <w:rPr>
          <w:i/>
        </w:rPr>
        <w:t>The Data Bank</w:t>
      </w:r>
      <w:r>
        <w:rPr>
          <w:i/>
        </w:rPr>
        <w:t xml:space="preserve"> – Reporting,</w:t>
      </w:r>
      <w:r>
        <w:t xml:space="preserve"> accessed Aug. 8, 2013 at:</w:t>
      </w:r>
      <w:r w:rsidRPr="00215499">
        <w:t xml:space="preserve"> </w:t>
      </w:r>
      <w:hyperlink r:id="rId2" w:history="1">
        <w:r w:rsidRPr="0092185A">
          <w:rPr>
            <w:rStyle w:val="Hyperlink"/>
          </w:rPr>
          <w:t>http://www.npdb-hipdb.hrsa.gov/hcorg/aboutReporting.jsp</w:t>
        </w:r>
      </w:hyperlink>
      <w:r>
        <w:t>.</w:t>
      </w:r>
    </w:p>
  </w:footnote>
  <w:footnote w:id="22">
    <w:p w:rsidR="00173DC1" w:rsidRPr="00012703" w:rsidRDefault="00173DC1" w:rsidP="00012703">
      <w:pPr>
        <w:pStyle w:val="FootnoteText"/>
        <w:rPr>
          <w:i/>
        </w:rPr>
      </w:pPr>
      <w:r>
        <w:rPr>
          <w:rStyle w:val="FootnoteReference"/>
        </w:rPr>
        <w:footnoteRef/>
      </w:r>
      <w:r>
        <w:t xml:space="preserve"> </w:t>
      </w:r>
      <w:r>
        <w:rPr>
          <w:i/>
        </w:rPr>
        <w:t>Id.</w:t>
      </w:r>
    </w:p>
  </w:footnote>
  <w:footnote w:id="23">
    <w:p w:rsidR="00173DC1" w:rsidRDefault="00173DC1">
      <w:pPr>
        <w:pStyle w:val="FootnoteText"/>
      </w:pPr>
      <w:r>
        <w:rPr>
          <w:rStyle w:val="FootnoteReference"/>
        </w:rPr>
        <w:footnoteRef/>
      </w:r>
      <w:r>
        <w:t xml:space="preserve"> </w:t>
      </w:r>
      <w:proofErr w:type="gramStart"/>
      <w:r>
        <w:t>42 U.S.C. § 11131.</w:t>
      </w:r>
      <w:proofErr w:type="gramEnd"/>
    </w:p>
  </w:footnote>
  <w:footnote w:id="24">
    <w:p w:rsidR="00173DC1" w:rsidRDefault="00173DC1">
      <w:pPr>
        <w:pStyle w:val="FootnoteText"/>
      </w:pPr>
      <w:r>
        <w:rPr>
          <w:rStyle w:val="FootnoteReference"/>
        </w:rPr>
        <w:footnoteRef/>
      </w:r>
      <w:r>
        <w:t xml:space="preserve"> 42 U.S.C. § 11132</w:t>
      </w:r>
    </w:p>
  </w:footnote>
  <w:footnote w:id="25">
    <w:p w:rsidR="00173DC1" w:rsidRDefault="00173DC1">
      <w:pPr>
        <w:pStyle w:val="FootnoteText"/>
      </w:pPr>
      <w:r>
        <w:rPr>
          <w:rStyle w:val="FootnoteReference"/>
        </w:rPr>
        <w:footnoteRef/>
      </w:r>
      <w:r>
        <w:t xml:space="preserve"> </w:t>
      </w:r>
      <w:proofErr w:type="gramStart"/>
      <w:r>
        <w:t>42 U.S.C. § 11133.</w:t>
      </w:r>
      <w:proofErr w:type="gramEnd"/>
    </w:p>
  </w:footnote>
  <w:footnote w:id="26">
    <w:p w:rsidR="00173DC1" w:rsidRDefault="00173DC1">
      <w:pPr>
        <w:pStyle w:val="FootnoteText"/>
      </w:pPr>
      <w:r>
        <w:rPr>
          <w:rStyle w:val="FootnoteReference"/>
        </w:rPr>
        <w:footnoteRef/>
      </w:r>
      <w:r>
        <w:t xml:space="preserve"> U.S, Dep’t of Health and Human Services website, </w:t>
      </w:r>
      <w:r>
        <w:rPr>
          <w:i/>
        </w:rPr>
        <w:t>Practitioners – Responding to Reports,</w:t>
      </w:r>
      <w:r>
        <w:t xml:space="preserve"> accessed Aug. 8, 2013 at:</w:t>
      </w:r>
      <w:r w:rsidRPr="00215499">
        <w:t xml:space="preserve"> </w:t>
      </w:r>
      <w:hyperlink r:id="rId3" w:history="1">
        <w:r w:rsidRPr="0092185A">
          <w:rPr>
            <w:rStyle w:val="Hyperlink"/>
          </w:rPr>
          <w:t>http://www.npdb-hipdb.hrsa.gov/pract/howToDisputeAReport.jsp</w:t>
        </w:r>
      </w:hyperlink>
      <w:r>
        <w:t xml:space="preserve">. </w:t>
      </w:r>
    </w:p>
  </w:footnote>
  <w:footnote w:id="27">
    <w:p w:rsidR="00173DC1" w:rsidRDefault="00173DC1">
      <w:pPr>
        <w:pStyle w:val="FootnoteText"/>
      </w:pPr>
      <w:r>
        <w:rPr>
          <w:rStyle w:val="FootnoteReference"/>
        </w:rPr>
        <w:footnoteRef/>
      </w:r>
      <w:r>
        <w:t xml:space="preserve"> U.S, Dep’t of Health and Human Services website, </w:t>
      </w:r>
      <w:r>
        <w:rPr>
          <w:i/>
        </w:rPr>
        <w:t>Practitioners – Information for Attorneys,</w:t>
      </w:r>
      <w:r>
        <w:t xml:space="preserve"> accessed Aug. 8, 2013 at: </w:t>
      </w:r>
      <w:r w:rsidRPr="000D3682">
        <w:t>http://www.npdb-hipdb.hrsa.gov/pract/informationForAttorneys.jsp</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3in;height:3in" o:bullet="t"/>
    </w:pict>
  </w:numPicBullet>
  <w:numPicBullet w:numPicBulletId="1">
    <w:pict>
      <v:shape id="_x0000_i1127" type="#_x0000_t75" style="width:3in;height:3in" o:bullet="t"/>
    </w:pict>
  </w:numPicBullet>
  <w:numPicBullet w:numPicBulletId="2">
    <w:pict>
      <v:shape id="_x0000_i1128" type="#_x0000_t75" style="width:3in;height:3in" o:bullet="t"/>
    </w:pict>
  </w:numPicBullet>
  <w:numPicBullet w:numPicBulletId="3">
    <w:pict>
      <v:shape id="_x0000_i1129" type="#_x0000_t75" style="width:3in;height:3in" o:bullet="t"/>
    </w:pict>
  </w:numPicBullet>
  <w:numPicBullet w:numPicBulletId="4">
    <w:pict>
      <v:shape id="_x0000_i1130" type="#_x0000_t75" style="width:3in;height:3in" o:bullet="t"/>
    </w:pict>
  </w:numPicBullet>
  <w:numPicBullet w:numPicBulletId="5">
    <w:pict>
      <v:shape id="_x0000_i1131" type="#_x0000_t75" style="width:3in;height:3in" o:bullet="t"/>
    </w:pict>
  </w:numPicBullet>
  <w:numPicBullet w:numPicBulletId="6">
    <w:pict>
      <v:shape id="_x0000_i1132" type="#_x0000_t75" style="width:3in;height:3in" o:bullet="t"/>
    </w:pict>
  </w:numPicBullet>
  <w:numPicBullet w:numPicBulletId="7">
    <w:pict>
      <v:shape id="_x0000_i1133" type="#_x0000_t75" style="width:3in;height:3in" o:bullet="t"/>
    </w:pict>
  </w:numPicBullet>
  <w:numPicBullet w:numPicBulletId="8">
    <w:pict>
      <v:shape id="_x0000_i1134" type="#_x0000_t75" style="width:3in;height:3in" o:bullet="t"/>
    </w:pict>
  </w:numPicBullet>
  <w:abstractNum w:abstractNumId="0">
    <w:nsid w:val="FFFFFF83"/>
    <w:multiLevelType w:val="singleLevel"/>
    <w:tmpl w:val="501A44B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38011F"/>
    <w:multiLevelType w:val="multilevel"/>
    <w:tmpl w:val="859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5E5B"/>
    <w:multiLevelType w:val="multilevel"/>
    <w:tmpl w:val="141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C55BD"/>
    <w:multiLevelType w:val="multilevel"/>
    <w:tmpl w:val="09E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F1BB5"/>
    <w:multiLevelType w:val="multilevel"/>
    <w:tmpl w:val="291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D11ED8"/>
    <w:multiLevelType w:val="hybridMultilevel"/>
    <w:tmpl w:val="D256B7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326750E2"/>
    <w:multiLevelType w:val="hybridMultilevel"/>
    <w:tmpl w:val="4E3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451F19"/>
    <w:multiLevelType w:val="multilevel"/>
    <w:tmpl w:val="653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196228"/>
    <w:multiLevelType w:val="multilevel"/>
    <w:tmpl w:val="A87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C4094D"/>
    <w:multiLevelType w:val="multilevel"/>
    <w:tmpl w:val="1ED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4D17CA"/>
    <w:multiLevelType w:val="hybridMultilevel"/>
    <w:tmpl w:val="BA82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307CDB"/>
    <w:multiLevelType w:val="multilevel"/>
    <w:tmpl w:val="6FCE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E554DB"/>
    <w:multiLevelType w:val="multilevel"/>
    <w:tmpl w:val="379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2C1547"/>
    <w:multiLevelType w:val="hybridMultilevel"/>
    <w:tmpl w:val="AA16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9F5909"/>
    <w:multiLevelType w:val="hybridMultilevel"/>
    <w:tmpl w:val="6FA802E4"/>
    <w:lvl w:ilvl="0" w:tplc="440CFC2E">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6"/>
  </w:num>
  <w:num w:numId="4">
    <w:abstractNumId w:val="13"/>
  </w:num>
  <w:num w:numId="5">
    <w:abstractNumId w:val="10"/>
  </w:num>
  <w:num w:numId="6">
    <w:abstractNumId w:val="5"/>
  </w:num>
  <w:num w:numId="7">
    <w:abstractNumId w:val="12"/>
  </w:num>
  <w:num w:numId="8">
    <w:abstractNumId w:val="9"/>
  </w:num>
  <w:num w:numId="9">
    <w:abstractNumId w:val="1"/>
  </w:num>
  <w:num w:numId="10">
    <w:abstractNumId w:val="8"/>
  </w:num>
  <w:num w:numId="11">
    <w:abstractNumId w:val="4"/>
  </w:num>
  <w:num w:numId="12">
    <w:abstractNumId w:val="11"/>
  </w:num>
  <w:num w:numId="13">
    <w:abstractNumId w:val="3"/>
  </w:num>
  <w:num w:numId="14">
    <w:abstractNumId w:val="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footnotePr>
    <w:footnote w:id="-1"/>
    <w:footnote w:id="0"/>
  </w:footnotePr>
  <w:endnotePr>
    <w:endnote w:id="-1"/>
    <w:endnote w:id="0"/>
  </w:endnotePr>
  <w:compat/>
  <w:rsids>
    <w:rsidRoot w:val="00B57397"/>
    <w:rsid w:val="00012703"/>
    <w:rsid w:val="000D1F36"/>
    <w:rsid w:val="000D3682"/>
    <w:rsid w:val="000D3A8D"/>
    <w:rsid w:val="000D4519"/>
    <w:rsid w:val="0014133F"/>
    <w:rsid w:val="00165F08"/>
    <w:rsid w:val="00173DC1"/>
    <w:rsid w:val="001E4925"/>
    <w:rsid w:val="00211427"/>
    <w:rsid w:val="00215499"/>
    <w:rsid w:val="00254692"/>
    <w:rsid w:val="002573E6"/>
    <w:rsid w:val="002E0770"/>
    <w:rsid w:val="002F3A57"/>
    <w:rsid w:val="00315391"/>
    <w:rsid w:val="00375AAA"/>
    <w:rsid w:val="003C0086"/>
    <w:rsid w:val="003C5133"/>
    <w:rsid w:val="003C67FB"/>
    <w:rsid w:val="00454691"/>
    <w:rsid w:val="004D4714"/>
    <w:rsid w:val="004F1617"/>
    <w:rsid w:val="004F4C51"/>
    <w:rsid w:val="005777D7"/>
    <w:rsid w:val="005A7F84"/>
    <w:rsid w:val="00613833"/>
    <w:rsid w:val="00677212"/>
    <w:rsid w:val="00683D2F"/>
    <w:rsid w:val="006940C4"/>
    <w:rsid w:val="006A0F46"/>
    <w:rsid w:val="00711B4D"/>
    <w:rsid w:val="00721354"/>
    <w:rsid w:val="007215A9"/>
    <w:rsid w:val="00751593"/>
    <w:rsid w:val="007700AF"/>
    <w:rsid w:val="00776DFF"/>
    <w:rsid w:val="00783C46"/>
    <w:rsid w:val="007E3EAB"/>
    <w:rsid w:val="00813B7C"/>
    <w:rsid w:val="00891514"/>
    <w:rsid w:val="008C3E30"/>
    <w:rsid w:val="008D685D"/>
    <w:rsid w:val="00972C37"/>
    <w:rsid w:val="009871FF"/>
    <w:rsid w:val="009C1631"/>
    <w:rsid w:val="009D75C9"/>
    <w:rsid w:val="00A13345"/>
    <w:rsid w:val="00A53C90"/>
    <w:rsid w:val="00A9707B"/>
    <w:rsid w:val="00B05871"/>
    <w:rsid w:val="00B06C75"/>
    <w:rsid w:val="00B0754E"/>
    <w:rsid w:val="00B21CF9"/>
    <w:rsid w:val="00B330AC"/>
    <w:rsid w:val="00B350E3"/>
    <w:rsid w:val="00B445F6"/>
    <w:rsid w:val="00B57397"/>
    <w:rsid w:val="00BA7B82"/>
    <w:rsid w:val="00C3242C"/>
    <w:rsid w:val="00C917BF"/>
    <w:rsid w:val="00CA2D34"/>
    <w:rsid w:val="00CA53D9"/>
    <w:rsid w:val="00CD2A91"/>
    <w:rsid w:val="00CE22C8"/>
    <w:rsid w:val="00CF2804"/>
    <w:rsid w:val="00D00CCA"/>
    <w:rsid w:val="00D2392C"/>
    <w:rsid w:val="00D77198"/>
    <w:rsid w:val="00D858DD"/>
    <w:rsid w:val="00DD3D39"/>
    <w:rsid w:val="00DE6E87"/>
    <w:rsid w:val="00E43FE9"/>
    <w:rsid w:val="00E727EE"/>
    <w:rsid w:val="00E92EB4"/>
    <w:rsid w:val="00E94827"/>
    <w:rsid w:val="00EF0284"/>
    <w:rsid w:val="00F23972"/>
    <w:rsid w:val="00F30A76"/>
    <w:rsid w:val="00F600E5"/>
    <w:rsid w:val="00FC1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97"/>
    <w:pPr>
      <w:spacing w:after="0" w:line="240" w:lineRule="auto"/>
      <w:jc w:val="both"/>
    </w:pPr>
    <w:rPr>
      <w:rFonts w:eastAsia="Times New Roman"/>
    </w:rPr>
  </w:style>
  <w:style w:type="paragraph" w:styleId="Heading2">
    <w:name w:val="heading 2"/>
    <w:basedOn w:val="Normal"/>
    <w:next w:val="Normal"/>
    <w:link w:val="Heading2Char"/>
    <w:qFormat/>
    <w:rsid w:val="00B57397"/>
    <w:pPr>
      <w:keepNext/>
      <w:keepLines/>
      <w:widowControl w:val="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7397"/>
    <w:rPr>
      <w:rFonts w:eastAsia="Times New Roman"/>
      <w:b/>
    </w:rPr>
  </w:style>
  <w:style w:type="paragraph" w:styleId="EndnoteText">
    <w:name w:val="endnote text"/>
    <w:basedOn w:val="Normal"/>
    <w:link w:val="EndnoteTextChar"/>
    <w:semiHidden/>
    <w:rsid w:val="00B57397"/>
    <w:rPr>
      <w:rFonts w:ascii="Courier New" w:hAnsi="Courier New"/>
    </w:rPr>
  </w:style>
  <w:style w:type="character" w:customStyle="1" w:styleId="EndnoteTextChar">
    <w:name w:val="Endnote Text Char"/>
    <w:basedOn w:val="DefaultParagraphFont"/>
    <w:link w:val="EndnoteText"/>
    <w:semiHidden/>
    <w:rsid w:val="00B57397"/>
    <w:rPr>
      <w:rFonts w:ascii="Courier New" w:eastAsia="Times New Roman" w:hAnsi="Courier New"/>
    </w:rPr>
  </w:style>
  <w:style w:type="character" w:styleId="Hyperlink">
    <w:name w:val="Hyperlink"/>
    <w:basedOn w:val="DefaultParagraphFont"/>
    <w:semiHidden/>
    <w:rsid w:val="00B57397"/>
    <w:rPr>
      <w:color w:val="0000FF"/>
      <w:u w:val="single"/>
    </w:rPr>
  </w:style>
  <w:style w:type="paragraph" w:styleId="ListBullet">
    <w:name w:val="List Bullet"/>
    <w:basedOn w:val="Normal"/>
    <w:next w:val="Normal"/>
    <w:autoRedefine/>
    <w:semiHidden/>
    <w:rsid w:val="001E4925"/>
    <w:pPr>
      <w:numPr>
        <w:numId w:val="2"/>
      </w:numPr>
    </w:pPr>
  </w:style>
  <w:style w:type="paragraph" w:styleId="ListBullet2">
    <w:name w:val="List Bullet 2"/>
    <w:basedOn w:val="Normal"/>
    <w:next w:val="Normal"/>
    <w:autoRedefine/>
    <w:semiHidden/>
    <w:rsid w:val="00B57397"/>
    <w:pPr>
      <w:numPr>
        <w:numId w:val="1"/>
      </w:numPr>
      <w:tabs>
        <w:tab w:val="clear" w:pos="720"/>
        <w:tab w:val="left" w:pos="1800"/>
      </w:tabs>
      <w:ind w:left="1800" w:hanging="540"/>
    </w:pPr>
  </w:style>
  <w:style w:type="paragraph" w:styleId="BalloonText">
    <w:name w:val="Balloon Text"/>
    <w:basedOn w:val="Normal"/>
    <w:link w:val="BalloonTextChar"/>
    <w:uiPriority w:val="99"/>
    <w:semiHidden/>
    <w:unhideWhenUsed/>
    <w:rsid w:val="00B0754E"/>
    <w:rPr>
      <w:rFonts w:ascii="Tahoma" w:hAnsi="Tahoma" w:cs="Tahoma"/>
      <w:sz w:val="16"/>
      <w:szCs w:val="16"/>
    </w:rPr>
  </w:style>
  <w:style w:type="character" w:customStyle="1" w:styleId="BalloonTextChar">
    <w:name w:val="Balloon Text Char"/>
    <w:basedOn w:val="DefaultParagraphFont"/>
    <w:link w:val="BalloonText"/>
    <w:uiPriority w:val="99"/>
    <w:semiHidden/>
    <w:rsid w:val="00B0754E"/>
    <w:rPr>
      <w:rFonts w:ascii="Tahoma" w:eastAsia="Times New Roman" w:hAnsi="Tahoma" w:cs="Tahoma"/>
      <w:sz w:val="16"/>
      <w:szCs w:val="16"/>
    </w:rPr>
  </w:style>
  <w:style w:type="paragraph" w:styleId="FootnoteText">
    <w:name w:val="footnote text"/>
    <w:basedOn w:val="Normal"/>
    <w:link w:val="FootnoteTextChar"/>
    <w:uiPriority w:val="99"/>
    <w:unhideWhenUsed/>
    <w:rsid w:val="00B0754E"/>
    <w:rPr>
      <w:sz w:val="20"/>
    </w:rPr>
  </w:style>
  <w:style w:type="character" w:customStyle="1" w:styleId="FootnoteTextChar">
    <w:name w:val="Footnote Text Char"/>
    <w:basedOn w:val="DefaultParagraphFont"/>
    <w:link w:val="FootnoteText"/>
    <w:uiPriority w:val="99"/>
    <w:rsid w:val="00B0754E"/>
    <w:rPr>
      <w:rFonts w:eastAsia="Times New Roman"/>
      <w:sz w:val="20"/>
    </w:rPr>
  </w:style>
  <w:style w:type="character" w:styleId="FootnoteReference">
    <w:name w:val="footnote reference"/>
    <w:basedOn w:val="DefaultParagraphFont"/>
    <w:uiPriority w:val="99"/>
    <w:semiHidden/>
    <w:unhideWhenUsed/>
    <w:rsid w:val="00B0754E"/>
    <w:rPr>
      <w:vertAlign w:val="superscript"/>
    </w:rPr>
  </w:style>
  <w:style w:type="paragraph" w:styleId="ListParagraph">
    <w:name w:val="List Paragraph"/>
    <w:basedOn w:val="Normal"/>
    <w:uiPriority w:val="34"/>
    <w:qFormat/>
    <w:rsid w:val="00B0754E"/>
    <w:pPr>
      <w:ind w:left="720"/>
      <w:contextualSpacing/>
    </w:pPr>
  </w:style>
  <w:style w:type="character" w:styleId="Emphasis">
    <w:name w:val="Emphasis"/>
    <w:basedOn w:val="DefaultParagraphFont"/>
    <w:uiPriority w:val="20"/>
    <w:qFormat/>
    <w:rsid w:val="001E4925"/>
    <w:rPr>
      <w:i/>
      <w:iCs/>
    </w:rPr>
  </w:style>
  <w:style w:type="character" w:customStyle="1" w:styleId="aref">
    <w:name w:val="aref"/>
    <w:basedOn w:val="DefaultParagraphFont"/>
    <w:rsid w:val="001E4925"/>
  </w:style>
  <w:style w:type="character" w:styleId="CommentReference">
    <w:name w:val="annotation reference"/>
    <w:basedOn w:val="DefaultParagraphFont"/>
    <w:uiPriority w:val="99"/>
    <w:semiHidden/>
    <w:unhideWhenUsed/>
    <w:rsid w:val="00012703"/>
    <w:rPr>
      <w:sz w:val="16"/>
      <w:szCs w:val="16"/>
    </w:rPr>
  </w:style>
  <w:style w:type="paragraph" w:styleId="CommentText">
    <w:name w:val="annotation text"/>
    <w:basedOn w:val="Normal"/>
    <w:link w:val="CommentTextChar"/>
    <w:uiPriority w:val="99"/>
    <w:semiHidden/>
    <w:unhideWhenUsed/>
    <w:rsid w:val="00012703"/>
    <w:rPr>
      <w:sz w:val="20"/>
    </w:rPr>
  </w:style>
  <w:style w:type="character" w:customStyle="1" w:styleId="CommentTextChar">
    <w:name w:val="Comment Text Char"/>
    <w:basedOn w:val="DefaultParagraphFont"/>
    <w:link w:val="CommentText"/>
    <w:uiPriority w:val="99"/>
    <w:semiHidden/>
    <w:rsid w:val="00012703"/>
    <w:rPr>
      <w:rFonts w:eastAsia="Times New Roman"/>
      <w:sz w:val="20"/>
    </w:rPr>
  </w:style>
  <w:style w:type="paragraph" w:styleId="CommentSubject">
    <w:name w:val="annotation subject"/>
    <w:basedOn w:val="CommentText"/>
    <w:next w:val="CommentText"/>
    <w:link w:val="CommentSubjectChar"/>
    <w:uiPriority w:val="99"/>
    <w:semiHidden/>
    <w:unhideWhenUsed/>
    <w:rsid w:val="00012703"/>
    <w:rPr>
      <w:b/>
      <w:bCs/>
    </w:rPr>
  </w:style>
  <w:style w:type="character" w:customStyle="1" w:styleId="CommentSubjectChar">
    <w:name w:val="Comment Subject Char"/>
    <w:basedOn w:val="CommentTextChar"/>
    <w:link w:val="CommentSubject"/>
    <w:uiPriority w:val="99"/>
    <w:semiHidden/>
    <w:rsid w:val="00012703"/>
    <w:rPr>
      <w:b/>
      <w:bCs/>
    </w:rPr>
  </w:style>
  <w:style w:type="paragraph" w:styleId="NormalWeb">
    <w:name w:val="Normal (Web)"/>
    <w:basedOn w:val="Normal"/>
    <w:uiPriority w:val="99"/>
    <w:unhideWhenUsed/>
    <w:rsid w:val="000D3682"/>
    <w:pPr>
      <w:spacing w:before="100" w:beforeAutospacing="1" w:after="100" w:afterAutospacing="1"/>
      <w:jc w:val="left"/>
    </w:pPr>
    <w:rPr>
      <w:snapToGrid/>
      <w:szCs w:val="24"/>
    </w:rPr>
  </w:style>
  <w:style w:type="character" w:styleId="FollowedHyperlink">
    <w:name w:val="FollowedHyperlink"/>
    <w:basedOn w:val="DefaultParagraphFont"/>
    <w:uiPriority w:val="99"/>
    <w:semiHidden/>
    <w:unhideWhenUsed/>
    <w:rsid w:val="009C16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75009599">
      <w:bodyDiv w:val="1"/>
      <w:marLeft w:val="0"/>
      <w:marRight w:val="0"/>
      <w:marTop w:val="0"/>
      <w:marBottom w:val="0"/>
      <w:divBdr>
        <w:top w:val="none" w:sz="0" w:space="0" w:color="auto"/>
        <w:left w:val="none" w:sz="0" w:space="0" w:color="auto"/>
        <w:bottom w:val="none" w:sz="0" w:space="0" w:color="auto"/>
        <w:right w:val="none" w:sz="0" w:space="0" w:color="auto"/>
      </w:divBdr>
      <w:divsChild>
        <w:div w:id="1262033344">
          <w:marLeft w:val="0"/>
          <w:marRight w:val="0"/>
          <w:marTop w:val="0"/>
          <w:marBottom w:val="0"/>
          <w:divBdr>
            <w:top w:val="none" w:sz="0" w:space="0" w:color="auto"/>
            <w:left w:val="none" w:sz="0" w:space="0" w:color="auto"/>
            <w:bottom w:val="none" w:sz="0" w:space="0" w:color="auto"/>
            <w:right w:val="none" w:sz="0" w:space="0" w:color="auto"/>
          </w:divBdr>
          <w:divsChild>
            <w:div w:id="4938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295">
      <w:bodyDiv w:val="1"/>
      <w:marLeft w:val="0"/>
      <w:marRight w:val="0"/>
      <w:marTop w:val="0"/>
      <w:marBottom w:val="0"/>
      <w:divBdr>
        <w:top w:val="none" w:sz="0" w:space="0" w:color="auto"/>
        <w:left w:val="none" w:sz="0" w:space="0" w:color="auto"/>
        <w:bottom w:val="none" w:sz="0" w:space="0" w:color="auto"/>
        <w:right w:val="none" w:sz="0" w:space="0" w:color="auto"/>
      </w:divBdr>
      <w:divsChild>
        <w:div w:id="1139809138">
          <w:marLeft w:val="0"/>
          <w:marRight w:val="0"/>
          <w:marTop w:val="0"/>
          <w:marBottom w:val="0"/>
          <w:divBdr>
            <w:top w:val="none" w:sz="0" w:space="0" w:color="auto"/>
            <w:left w:val="none" w:sz="0" w:space="0" w:color="auto"/>
            <w:bottom w:val="none" w:sz="0" w:space="0" w:color="auto"/>
            <w:right w:val="none" w:sz="0" w:space="0" w:color="auto"/>
          </w:divBdr>
          <w:divsChild>
            <w:div w:id="21069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pdb.hrsa.gov"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npdb-hipdb.hrsa.gov/software/codes.jsp"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www.npdb-hipdb.hrsa.gov/pract/howToDisputeAReport.jsp" TargetMode="External"/><Relationship Id="rId2" Type="http://schemas.openxmlformats.org/officeDocument/2006/relationships/hyperlink" Target="http://www.npdb-hipdb.hrsa.gov/hcorg/aboutReporting.jsp" TargetMode="External"/><Relationship Id="rId1" Type="http://schemas.openxmlformats.org/officeDocument/2006/relationships/hyperlink" Target="http://www.npdb-hipdb.hrsa.gov/resources/npdbMerg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911A61-7B68-4DA2-8089-9F537ECC6E47}">
  <ds:schemaRefs>
    <ds:schemaRef ds:uri="http://schemas.openxmlformats.org/officeDocument/2006/bibliography"/>
  </ds:schemaRefs>
</ds:datastoreItem>
</file>

<file path=customXml/itemProps2.xml><?xml version="1.0" encoding="utf-8"?>
<ds:datastoreItem xmlns:ds="http://schemas.openxmlformats.org/officeDocument/2006/customXml" ds:itemID="{DAB6E2F2-0493-40EC-9F33-75AF122C7B24}"/>
</file>

<file path=customXml/itemProps3.xml><?xml version="1.0" encoding="utf-8"?>
<ds:datastoreItem xmlns:ds="http://schemas.openxmlformats.org/officeDocument/2006/customXml" ds:itemID="{99A461A0-4BDF-4E4A-B9A3-98970BD8838D}"/>
</file>

<file path=customXml/itemProps4.xml><?xml version="1.0" encoding="utf-8"?>
<ds:datastoreItem xmlns:ds="http://schemas.openxmlformats.org/officeDocument/2006/customXml" ds:itemID="{60DA61C5-CDBB-4E05-9B04-B74A1F3A55DA}"/>
</file>

<file path=docProps/app.xml><?xml version="1.0" encoding="utf-8"?>
<Properties xmlns="http://schemas.openxmlformats.org/officeDocument/2006/extended-properties" xmlns:vt="http://schemas.openxmlformats.org/officeDocument/2006/docPropsVTypes">
  <Template>Normal</Template>
  <TotalTime>6</TotalTime>
  <Pages>8</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3</cp:revision>
  <dcterms:created xsi:type="dcterms:W3CDTF">2013-08-27T17:05:00Z</dcterms:created>
  <dcterms:modified xsi:type="dcterms:W3CDTF">2013-08-27T17:11:00Z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