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pPr>
    </w:p>
    <w:p w:rsidR="00B1793B" w:rsidRDefault="00B1793B"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r>
        <w:rPr>
          <w:rStyle w:val="FootnoteReference"/>
        </w:rPr>
        <w:footnoteReference w:id="7"/>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6116DA" w:rsidRDefault="00C374B8">
      <w:pPr>
        <w:ind w:firstLine="720"/>
      </w:pPr>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 xml:space="preserve">What civil and criminal penalties </w:t>
      </w:r>
      <w:proofErr w:type="gramStart"/>
      <w:r>
        <w:t>an</w:t>
      </w:r>
      <w:proofErr w:type="gramEnd"/>
      <w:r>
        <w:t xml:space="preserve">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w:t>
      </w:r>
      <w:r w:rsidR="00CE4DDE">
        <w:lastRenderedPageBreak/>
        <w:t>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proofErr w:type="gramEnd"/>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t>The extent to which the risk to the PHI has been mitigated.</w:t>
      </w:r>
    </w:p>
    <w:p w:rsidR="006116DA" w:rsidRDefault="006116DA">
      <w:pPr>
        <w:pStyle w:val="ListParagraph"/>
      </w:pPr>
    </w:p>
    <w:p w:rsidR="006116DA" w:rsidRDefault="007D23D0">
      <w:pPr>
        <w:ind w:firstLine="720"/>
      </w:pPr>
      <w:r>
        <w:lastRenderedPageBreak/>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r w:rsidR="00A17A70">
        <w:rPr>
          <w:rStyle w:val="FootnoteReference"/>
        </w:rPr>
        <w:footnoteReference w:id="39"/>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r w:rsidR="00A17A70">
        <w:rPr>
          <w:rStyle w:val="FootnoteReference"/>
        </w:rPr>
        <w:footnoteReference w:id="40"/>
      </w:r>
      <w:r>
        <w:t xml:space="preserve"> </w:t>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r w:rsidR="00E76B7E">
        <w:t xml:space="preserve"> Recent amendments to the Privacy Rule now limit the period for which covered entities must protect health information to 50 years after the patient’s death.</w:t>
      </w:r>
      <w:r w:rsidR="00663DD5">
        <w:rPr>
          <w:rStyle w:val="FootnoteReference"/>
        </w:rPr>
        <w:footnoteReference w:id="57"/>
      </w:r>
      <w:r w:rsidR="00E76B7E">
        <w:t xml:space="preserve"> Additionally, now individuals who were involved in a patient’s care or payment for care – but who were not the decedent’s personal representative - may </w:t>
      </w:r>
      <w:r w:rsidR="00663DD5">
        <w:t>request</w:t>
      </w:r>
      <w:r w:rsidR="00E76B7E">
        <w:t xml:space="preserve"> the decedent’s records after death.</w:t>
      </w:r>
      <w:r w:rsidR="00663DD5">
        <w:rPr>
          <w:rStyle w:val="FootnoteReference"/>
        </w:rPr>
        <w:footnoteReference w:id="58"/>
      </w:r>
      <w:r w:rsidR="00E76B7E">
        <w:t xml:space="preserve"> These kinds of disclosures are permitted, but not required, and </w:t>
      </w:r>
      <w:r w:rsidR="00663DD5">
        <w:t>need to be relevant to the requesting individual’s involvement.</w:t>
      </w:r>
      <w:r w:rsidR="00CD6DAA">
        <w:rPr>
          <w:rStyle w:val="FootnoteReference"/>
        </w:rPr>
        <w:footnoteReference w:id="59"/>
      </w:r>
      <w:r w:rsidR="00663DD5">
        <w:t xml:space="preserve"> If a physician questions the relationship between the decedent and the requesting individual, the physician may ref</w:t>
      </w:r>
      <w:r w:rsidR="00F012C1">
        <w:t xml:space="preserve">use to disclose the information so long as the physician abides by certain </w:t>
      </w:r>
      <w:proofErr w:type="spellStart"/>
      <w:r w:rsidR="00F012C1">
        <w:t>requirments</w:t>
      </w:r>
      <w:proofErr w:type="spellEnd"/>
      <w:r w:rsidR="00F012C1">
        <w:t>.</w:t>
      </w:r>
      <w:r w:rsidR="00F012C1">
        <w:rPr>
          <w:rStyle w:val="FootnoteReference"/>
        </w:rPr>
        <w:footnoteReference w:id="60"/>
      </w:r>
      <w:r w:rsidR="00663DD5">
        <w:t xml:space="preserve"> </w:t>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t>
      </w:r>
      <w:proofErr w:type="gramStart"/>
      <w:r w:rsidR="00663DD5">
        <w:t>who</w:t>
      </w:r>
      <w:proofErr w:type="gramEnd"/>
      <w:r w:rsidR="00663DD5">
        <w:t xml:space="preserve">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snapToGrid/>
          <w:szCs w:val="24"/>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r w:rsidR="006E34D2">
        <w:t>As of</w:t>
      </w:r>
      <w:r w:rsidR="00561311">
        <w:t xml:space="preserve"> </w:t>
      </w:r>
      <w:r w:rsidR="0072468F">
        <w:t>September 23, 2013</w:t>
      </w:r>
      <w:r w:rsidR="00DA7AB1">
        <w:t xml:space="preserve">, </w:t>
      </w:r>
      <w:r w:rsidR="0072468F">
        <w:t xml:space="preserve">providers </w:t>
      </w:r>
      <w:r w:rsidR="006E34D2">
        <w:t>are</w:t>
      </w:r>
      <w:r w:rsidR="0072468F">
        <w:t xml:space="preserve"> required to expand</w:t>
      </w:r>
      <w:r w:rsidR="00AE446B">
        <w:t xml:space="preserve"> what is </w:t>
      </w:r>
      <w:r w:rsidR="00AE446B">
        <w:lastRenderedPageBreak/>
        <w:t xml:space="preserve">included in the </w:t>
      </w:r>
      <w:r w:rsidR="00DA7AB1">
        <w:t xml:space="preserve">Notice of Privacy Practices </w:t>
      </w:r>
      <w:r w:rsidR="00AE446B">
        <w:t>provided to their</w:t>
      </w:r>
      <w:r w:rsidR="0072468F">
        <w:t xml:space="preserve"> patient</w:t>
      </w:r>
      <w:r w:rsidR="00AE446B">
        <w:t>s</w:t>
      </w:r>
      <w:r w:rsidR="0072468F">
        <w:t>.</w:t>
      </w:r>
      <w:r w:rsidR="0072468F">
        <w:rPr>
          <w:rStyle w:val="FootnoteReference"/>
        </w:rPr>
        <w:footnoteReference w:id="130"/>
      </w:r>
      <w:r w:rsidR="0072468F">
        <w:rPr>
          <w:snapToGrid/>
          <w:szCs w:val="24"/>
        </w:rPr>
        <w:t xml:space="preserve"> </w:t>
      </w:r>
      <w:r w:rsidR="00AE446B">
        <w:rPr>
          <w:snapToGrid/>
          <w:szCs w:val="24"/>
        </w:rPr>
        <w:t>Notices must now clearly explain patients’</w:t>
      </w:r>
      <w:r w:rsidR="0072468F">
        <w:rPr>
          <w:snapToGrid/>
          <w:szCs w:val="24"/>
        </w:rPr>
        <w:t xml:space="preserve"> rights to restrict disclosures</w:t>
      </w:r>
      <w:r w:rsidR="00E97220" w:rsidRPr="00E97220">
        <w:rPr>
          <w:snapToGrid/>
          <w:szCs w:val="24"/>
        </w:rPr>
        <w:t xml:space="preserve">, </w:t>
      </w:r>
      <w:r w:rsidR="0072468F">
        <w:rPr>
          <w:snapToGrid/>
          <w:szCs w:val="24"/>
        </w:rPr>
        <w:t>the type of disclosures that would require a patient’s authorization</w:t>
      </w:r>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D21ABD">
        <w:rPr>
          <w:snapToGrid/>
          <w:szCs w:val="24"/>
        </w:rPr>
        <w:t xml:space="preserve"> (see </w:t>
      </w:r>
      <w:r w:rsidR="006E34D2">
        <w:rPr>
          <w:snapToGrid/>
          <w:szCs w:val="24"/>
        </w:rPr>
        <w:t xml:space="preserve">answer to the question </w:t>
      </w:r>
      <w:r w:rsidR="006E34D2">
        <w:rPr>
          <w:i/>
          <w:snapToGrid/>
          <w:szCs w:val="24"/>
        </w:rPr>
        <w:t xml:space="preserve">“Can a provider use patient information for fundraising purposes?” </w:t>
      </w:r>
      <w:r w:rsidR="00D21ABD">
        <w:rPr>
          <w:snapToGrid/>
          <w:szCs w:val="24"/>
        </w:rPr>
        <w:t>immediately</w:t>
      </w:r>
      <w:r w:rsidR="008A5DC5">
        <w:rPr>
          <w:snapToGrid/>
          <w:szCs w:val="24"/>
        </w:rPr>
        <w:t xml:space="preserve"> below)</w:t>
      </w:r>
      <w:r w:rsidR="0072468F">
        <w:rPr>
          <w:snapToGrid/>
          <w:szCs w:val="24"/>
        </w:rPr>
        <w:t>.</w:t>
      </w:r>
      <w:r w:rsidR="0072468F">
        <w:rPr>
          <w:rStyle w:val="FootnoteReference"/>
          <w:snapToGrid/>
          <w:szCs w:val="24"/>
        </w:rPr>
        <w:footnoteReference w:id="131"/>
      </w:r>
      <w:r w:rsidR="004246D1">
        <w:rPr>
          <w:snapToGrid/>
          <w:szCs w:val="24"/>
        </w:rPr>
        <w:t xml:space="preserve"> </w:t>
      </w:r>
      <w:r w:rsidR="004246D1" w:rsidRPr="004246D1">
        <w:rPr>
          <w:snapToGrid/>
          <w:szCs w:val="24"/>
        </w:rPr>
        <w:t>The notice must contain a statement briefly explaining the individual</w:t>
      </w:r>
      <w:r w:rsidR="004246D1">
        <w:rPr>
          <w:snapToGrid/>
          <w:szCs w:val="24"/>
        </w:rPr>
        <w:t>’</w:t>
      </w:r>
      <w:r w:rsidR="004246D1" w:rsidRPr="004246D1">
        <w:rPr>
          <w:snapToGrid/>
          <w:szCs w:val="24"/>
        </w:rPr>
        <w:t xml:space="preserve">s </w:t>
      </w:r>
      <w:r w:rsidR="004246D1">
        <w:rPr>
          <w:snapToGrid/>
          <w:szCs w:val="24"/>
        </w:rPr>
        <w:t>rights, and the patient</w:t>
      </w:r>
      <w:r w:rsidR="00C1777C">
        <w:rPr>
          <w:snapToGrid/>
          <w:szCs w:val="24"/>
        </w:rPr>
        <w:t>’</w:t>
      </w:r>
      <w:r w:rsidR="004246D1">
        <w:rPr>
          <w:snapToGrid/>
          <w:szCs w:val="24"/>
        </w:rPr>
        <w:t>s ability to request restrictions on certain uses and disclosures of PHI.</w:t>
      </w:r>
      <w:r w:rsidR="004246D1" w:rsidRPr="004246D1">
        <w:rPr>
          <w:snapToGrid/>
          <w:szCs w:val="24"/>
          <w:vertAlign w:val="superscript"/>
        </w:rPr>
        <w:footnoteReference w:id="132"/>
      </w:r>
      <w:r w:rsidR="00C1777C">
        <w:rPr>
          <w:snapToGrid/>
          <w:szCs w:val="24"/>
        </w:rPr>
        <w:t xml:space="preserve"> </w:t>
      </w:r>
    </w:p>
    <w:p w:rsidR="006339F9" w:rsidRDefault="006339F9">
      <w:pPr>
        <w:pStyle w:val="ListParagraph"/>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2" w:name="_ftnref2"/>
      <w:bookmarkEnd w:id="2"/>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9"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r w:rsidR="00883C66">
        <w:rPr>
          <w:rStyle w:val="FootnoteReference"/>
          <w:szCs w:val="24"/>
        </w:rPr>
        <w:footnoteReference w:id="136"/>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szCs w:val="24"/>
        </w:rPr>
      </w:pPr>
      <w:r w:rsidRPr="00E97220">
        <w:rPr>
          <w:szCs w:val="24"/>
        </w:rPr>
        <w:t>When must a provider get the patient to authorize the use and disclosure of PHI?</w:t>
      </w:r>
    </w:p>
    <w:p w:rsidR="00E97220" w:rsidRPr="00E97220" w:rsidRDefault="00E97220" w:rsidP="00E97220">
      <w:pPr>
        <w:pStyle w:val="Heading2"/>
        <w:rPr>
          <w:szCs w:val="24"/>
        </w:rPr>
      </w:pPr>
    </w:p>
    <w:p w:rsidR="00E97220" w:rsidRDefault="00E97220" w:rsidP="00E97220">
      <w:pPr>
        <w:pStyle w:val="Heading2"/>
        <w:rPr>
          <w:b w:val="0"/>
          <w:szCs w:val="24"/>
        </w:rPr>
      </w:pPr>
      <w:r w:rsidRPr="00E97220">
        <w:rPr>
          <w:szCs w:val="24"/>
        </w:rPr>
        <w:tab/>
      </w:r>
      <w:r w:rsidR="00C6216B"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psychotherapy notes</w:t>
      </w:r>
      <w:r w:rsidR="00E97220">
        <w:rPr>
          <w:b w:val="0"/>
          <w:szCs w:val="24"/>
        </w:rPr>
        <w:t xml:space="preserve"> </w:t>
      </w:r>
      <w:r w:rsidRPr="00C6216B">
        <w:rPr>
          <w:b w:val="0"/>
          <w:szCs w:val="24"/>
          <w:vertAlign w:val="superscript"/>
        </w:rPr>
        <w:footnoteReference w:id="138"/>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sidR="00E97220">
        <w:rPr>
          <w:b w:val="0"/>
          <w:szCs w:val="24"/>
        </w:rPr>
        <w:t xml:space="preserve"> </w:t>
      </w:r>
      <w:r w:rsidRPr="00C6216B">
        <w:rPr>
          <w:b w:val="0"/>
          <w:szCs w:val="24"/>
          <w:vertAlign w:val="superscript"/>
        </w:rPr>
        <w:footnoteReference w:id="139"/>
      </w:r>
    </w:p>
    <w:p w:rsidR="006339F9" w:rsidRDefault="006339F9"/>
    <w:p w:rsidR="00E97220" w:rsidRPr="00E97220" w:rsidRDefault="00C6216B" w:rsidP="00E97220">
      <w:pPr>
        <w:pStyle w:val="Heading2"/>
        <w:numPr>
          <w:ilvl w:val="0"/>
          <w:numId w:val="15"/>
        </w:numPr>
        <w:rPr>
          <w:b w:val="0"/>
          <w:szCs w:val="24"/>
        </w:rPr>
      </w:pPr>
      <w:r w:rsidRPr="00C6216B">
        <w:rPr>
          <w:b w:val="0"/>
          <w:szCs w:val="24"/>
        </w:rPr>
        <w:t>The sale of PHI</w:t>
      </w:r>
      <w:r w:rsidR="00E97220">
        <w:rPr>
          <w:b w:val="0"/>
          <w:szCs w:val="24"/>
        </w:rPr>
        <w:t xml:space="preserve"> </w:t>
      </w:r>
      <w:r w:rsidRPr="00C6216B">
        <w:rPr>
          <w:b w:val="0"/>
          <w:szCs w:val="24"/>
          <w:vertAlign w:val="superscript"/>
        </w:rPr>
        <w:footnoteReference w:id="140"/>
      </w:r>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commentRangeStart w:id="3"/>
      <w:r w:rsidRPr="004E22FF">
        <w:rPr>
          <w:rStyle w:val="FootnoteReference"/>
          <w:szCs w:val="24"/>
        </w:rPr>
        <w:footnoteReference w:id="147"/>
      </w:r>
      <w:commentRangeEnd w:id="3"/>
      <w:r w:rsidR="00B95D06">
        <w:rPr>
          <w:rStyle w:val="CommentReference"/>
        </w:rPr>
        <w:commentReference w:id="3"/>
      </w:r>
      <w:r w:rsidR="00C51BF3" w:rsidRPr="004E22FF">
        <w:rPr>
          <w:szCs w:val="24"/>
        </w:rPr>
        <w:t xml:space="preserve"> Penalties are now assessed depending on the covered entity’s culpability;</w:t>
      </w:r>
      <w:r w:rsidR="009C1BD2" w:rsidRPr="004E22FF">
        <w:rPr>
          <w:rStyle w:val="FootnoteReference"/>
          <w:szCs w:val="24"/>
        </w:rPr>
        <w:footnoteReference w:id="148"/>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r w:rsidR="009C1BD2">
        <w:rPr>
          <w:rStyle w:val="FootnoteReference"/>
          <w:szCs w:val="24"/>
        </w:rPr>
        <w:footnoteReference w:id="149"/>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r w:rsidR="009C1BD2">
        <w:rPr>
          <w:rStyle w:val="FootnoteReference"/>
          <w:szCs w:val="24"/>
        </w:rPr>
        <w:footnoteReference w:id="150"/>
      </w:r>
      <w:r w:rsidR="00790EE4" w:rsidRPr="00790EE4">
        <w:rPr>
          <w:szCs w:val="24"/>
        </w:rPr>
        <w:t xml:space="preserve"> 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Under the UHCIA, a record of existing health care information must be maintained for at least one year following receipt of a valid patient authorization, and during the pendency of a </w:t>
      </w:r>
      <w:r>
        <w:lastRenderedPageBreak/>
        <w:t>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pm" w:date="2013-11-13T11:22:00Z" w:initials="dpm">
    <w:p w:rsidR="001A396C" w:rsidRDefault="001A396C">
      <w:pPr>
        <w:pStyle w:val="CommentText"/>
      </w:pPr>
      <w:r>
        <w:rPr>
          <w:rStyle w:val="CommentReference"/>
        </w:rPr>
        <w:annotationRef/>
      </w:r>
      <w:r>
        <w:t xml:space="preserve">Please find cite for where this is in the HITECH Act (US Code) and in the federal </w:t>
      </w:r>
      <w:proofErr w:type="spellStart"/>
      <w:r>
        <w:t>regs</w:t>
      </w:r>
      <w:proofErr w:type="spellEnd"/>
      <w:r>
        <w:t xml:space="preserve"> (it should be in 45 CFR 160 something. Please find CFR cite for the other tiers as well</w:t>
      </w:r>
      <w:proofErr w:type="gramStart"/>
      <w: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6D8" w:rsidRDefault="006F66D8" w:rsidP="00AC0331">
      <w:r>
        <w:separator/>
      </w:r>
    </w:p>
  </w:endnote>
  <w:endnote w:type="continuationSeparator" w:id="0">
    <w:p w:rsidR="006F66D8" w:rsidRDefault="006F66D8"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6D8" w:rsidRDefault="006F66D8" w:rsidP="00AC0331">
      <w:r>
        <w:separator/>
      </w:r>
    </w:p>
  </w:footnote>
  <w:footnote w:type="continuationSeparator" w:id="0">
    <w:p w:rsidR="006F66D8" w:rsidRDefault="006F66D8" w:rsidP="00AC0331">
      <w:r>
        <w:continuationSeparator/>
      </w:r>
    </w:p>
  </w:footnote>
  <w:footnote w:id="1">
    <w:p w:rsidR="001A396C" w:rsidRDefault="001A396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1A396C" w:rsidRDefault="001A396C">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1A396C" w:rsidRDefault="001A396C">
      <w:pPr>
        <w:pStyle w:val="FootnoteText"/>
      </w:pPr>
      <w:r>
        <w:rPr>
          <w:rStyle w:val="FootnoteReference"/>
        </w:rPr>
        <w:footnoteRef/>
      </w:r>
      <w:r>
        <w:t xml:space="preserve"> </w:t>
      </w:r>
      <w:proofErr w:type="gramStart"/>
      <w:r>
        <w:t>45 C.F.R. § 164.530(a).</w:t>
      </w:r>
      <w:proofErr w:type="gramEnd"/>
    </w:p>
  </w:footnote>
  <w:footnote w:id="4">
    <w:p w:rsidR="001A396C" w:rsidRDefault="001A396C">
      <w:pPr>
        <w:pStyle w:val="FootnoteText"/>
      </w:pPr>
      <w:r>
        <w:rPr>
          <w:rStyle w:val="FootnoteReference"/>
        </w:rPr>
        <w:footnoteRef/>
      </w:r>
      <w:r>
        <w:t xml:space="preserve"> </w:t>
      </w:r>
      <w:proofErr w:type="gramStart"/>
      <w:r>
        <w:t>45 C.F.R. § 164.308(a).</w:t>
      </w:r>
      <w:proofErr w:type="gramEnd"/>
    </w:p>
  </w:footnote>
  <w:footnote w:id="5">
    <w:p w:rsidR="001A396C" w:rsidRDefault="001A396C">
      <w:pPr>
        <w:pStyle w:val="FootnoteText"/>
      </w:pPr>
      <w:r>
        <w:rPr>
          <w:rStyle w:val="FootnoteReference"/>
        </w:rPr>
        <w:footnoteRef/>
      </w:r>
      <w:r>
        <w:t xml:space="preserve"> </w:t>
      </w:r>
      <w:proofErr w:type="gramStart"/>
      <w:r>
        <w:t>45 C.F.R. § 164.306(a).</w:t>
      </w:r>
      <w:proofErr w:type="gramEnd"/>
    </w:p>
  </w:footnote>
  <w:footnote w:id="6">
    <w:p w:rsidR="001A396C" w:rsidRDefault="001A396C">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1A396C" w:rsidRDefault="001A396C">
      <w:pPr>
        <w:pStyle w:val="FootnoteText"/>
      </w:pPr>
      <w:r>
        <w:rPr>
          <w:rStyle w:val="FootnoteReference"/>
        </w:rPr>
        <w:footnoteRef/>
      </w:r>
      <w:r>
        <w:t xml:space="preserve"> HITECH Act §§ 13405(a);</w:t>
      </w:r>
      <w:r w:rsidRPr="00453FFD">
        <w:rPr>
          <w:rFonts w:ascii="TimesNewRoman" w:eastAsiaTheme="minorHAnsi" w:hAnsi="TimesNewRoman" w:cs="TimesNewRoman"/>
          <w:sz w:val="18"/>
          <w:szCs w:val="18"/>
        </w:rPr>
        <w:t xml:space="preserve"> </w:t>
      </w:r>
      <w:r w:rsidRPr="00453FFD">
        <w:t>codified at 42 U.S.C. §17</w:t>
      </w:r>
      <w:r>
        <w:t xml:space="preserve">935(a). </w:t>
      </w:r>
    </w:p>
  </w:footnote>
  <w:footnote w:id="8">
    <w:p w:rsidR="001A396C" w:rsidRDefault="001A396C">
      <w:pPr>
        <w:pStyle w:val="FootnoteText"/>
      </w:pPr>
      <w:r>
        <w:rPr>
          <w:rStyle w:val="FootnoteReference"/>
        </w:rPr>
        <w:footnoteRef/>
      </w:r>
      <w:r>
        <w:t xml:space="preserve"> </w:t>
      </w:r>
      <w:proofErr w:type="gramStart"/>
      <w:r>
        <w:t>45 C.F.R. § 160.103.</w:t>
      </w:r>
      <w:proofErr w:type="gramEnd"/>
    </w:p>
  </w:footnote>
  <w:footnote w:id="9">
    <w:p w:rsidR="001A396C" w:rsidRDefault="001A396C">
      <w:pPr>
        <w:pStyle w:val="FootnoteText"/>
      </w:pPr>
      <w:r>
        <w:rPr>
          <w:rStyle w:val="FootnoteReference"/>
        </w:rPr>
        <w:footnoteRef/>
      </w:r>
      <w:r>
        <w:t xml:space="preserve"> </w:t>
      </w:r>
      <w:proofErr w:type="gramStart"/>
      <w:r>
        <w:t>45 C.F.R. § 160.103.</w:t>
      </w:r>
      <w:proofErr w:type="gramEnd"/>
    </w:p>
  </w:footnote>
  <w:footnote w:id="10">
    <w:p w:rsidR="001A396C" w:rsidRDefault="001A396C">
      <w:pPr>
        <w:pStyle w:val="FootnoteText"/>
      </w:pPr>
      <w:r>
        <w:rPr>
          <w:rStyle w:val="FootnoteReference"/>
        </w:rPr>
        <w:footnoteRef/>
      </w:r>
      <w:r>
        <w:t xml:space="preserve"> </w:t>
      </w:r>
      <w:proofErr w:type="gramStart"/>
      <w:r>
        <w:t>RCW 70.02.010(7).</w:t>
      </w:r>
      <w:proofErr w:type="gramEnd"/>
    </w:p>
  </w:footnote>
  <w:footnote w:id="11">
    <w:p w:rsidR="001A396C" w:rsidRDefault="001A396C">
      <w:pPr>
        <w:pStyle w:val="FootnoteText"/>
      </w:pPr>
      <w:r>
        <w:rPr>
          <w:rStyle w:val="FootnoteReference"/>
        </w:rPr>
        <w:footnoteRef/>
      </w:r>
      <w:r>
        <w:t xml:space="preserve"> </w:t>
      </w:r>
      <w:proofErr w:type="gramStart"/>
      <w:r>
        <w:t>45 C.F.R. § 164.512; RCW 70.02.050.</w:t>
      </w:r>
      <w:proofErr w:type="gramEnd"/>
    </w:p>
  </w:footnote>
  <w:footnote w:id="12">
    <w:p w:rsidR="001A396C" w:rsidRDefault="001A396C">
      <w:pPr>
        <w:pStyle w:val="FootnoteText"/>
      </w:pPr>
      <w:r>
        <w:rPr>
          <w:rStyle w:val="FootnoteReference"/>
        </w:rPr>
        <w:footnoteRef/>
      </w:r>
      <w:r>
        <w:t xml:space="preserve"> </w:t>
      </w:r>
      <w:proofErr w:type="gramStart"/>
      <w:r>
        <w:t>45 C.F.R. § 164.508(c); RCW 70.02.030(3); RCW 70.02.080.</w:t>
      </w:r>
      <w:proofErr w:type="gramEnd"/>
    </w:p>
  </w:footnote>
  <w:footnote w:id="13">
    <w:p w:rsidR="001A396C" w:rsidRDefault="001A396C">
      <w:pPr>
        <w:pStyle w:val="FootnoteText"/>
      </w:pPr>
      <w:r>
        <w:rPr>
          <w:rStyle w:val="FootnoteReference"/>
        </w:rPr>
        <w:footnoteRef/>
      </w:r>
      <w:r>
        <w:t xml:space="preserve"> </w:t>
      </w:r>
      <w:proofErr w:type="gramStart"/>
      <w:r>
        <w:t>45 C.F.R. § 164.524; RCW 70.02.030.</w:t>
      </w:r>
      <w:proofErr w:type="gramEnd"/>
    </w:p>
  </w:footnote>
  <w:footnote w:id="14">
    <w:p w:rsidR="001A396C" w:rsidRDefault="001A396C">
      <w:pPr>
        <w:pStyle w:val="FootnoteText"/>
      </w:pPr>
      <w:r>
        <w:rPr>
          <w:rStyle w:val="FootnoteReference"/>
        </w:rPr>
        <w:footnoteRef/>
      </w:r>
      <w:r>
        <w:t xml:space="preserve"> </w:t>
      </w:r>
      <w:proofErr w:type="gramStart"/>
      <w:r>
        <w:t>45 C.F.R. § 164.526; RCW 70.02.100; RCW 70.02.110.</w:t>
      </w:r>
      <w:proofErr w:type="gramEnd"/>
    </w:p>
  </w:footnote>
  <w:footnote w:id="15">
    <w:p w:rsidR="001A396C" w:rsidRPr="00C374B8" w:rsidRDefault="001A396C">
      <w:pPr>
        <w:pStyle w:val="FootnoteText"/>
      </w:pPr>
      <w:r>
        <w:rPr>
          <w:rStyle w:val="FootnoteReference"/>
        </w:rPr>
        <w:footnoteRef/>
      </w:r>
      <w:r>
        <w:t xml:space="preserve"> </w:t>
      </w:r>
      <w:proofErr w:type="gramStart"/>
      <w:r>
        <w:t>45 C.F.R. § 164.</w:t>
      </w:r>
      <w:r w:rsidRPr="00C374B8">
        <w:t>512(e); RCW 70.02.060.</w:t>
      </w:r>
      <w:proofErr w:type="gramEnd"/>
    </w:p>
  </w:footnote>
  <w:footnote w:id="16">
    <w:p w:rsidR="001A396C" w:rsidRPr="00C374B8" w:rsidRDefault="001A396C">
      <w:pPr>
        <w:pStyle w:val="FootnoteText"/>
      </w:pPr>
      <w:r w:rsidRPr="00C374B8">
        <w:rPr>
          <w:rStyle w:val="FootnoteReference"/>
        </w:rPr>
        <w:footnoteRef/>
      </w:r>
      <w:r w:rsidRPr="00C374B8">
        <w:t xml:space="preserve"> 45 C.F.R. § 164.404 (data breach); 45 C.F.R. § 164.528 (accounting); RCW 70.02.020(2) (accounting).</w:t>
      </w:r>
    </w:p>
  </w:footnote>
  <w:footnote w:id="17">
    <w:p w:rsidR="001A396C" w:rsidRPr="00D368FE" w:rsidRDefault="001A396C">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1A396C" w:rsidRPr="00D368FE"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1A396C" w:rsidRDefault="001A396C">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1A396C" w:rsidRDefault="001A396C">
      <w:pPr>
        <w:pStyle w:val="FootnoteText"/>
      </w:pPr>
      <w:r>
        <w:rPr>
          <w:rStyle w:val="FootnoteReference"/>
        </w:rPr>
        <w:footnoteRef/>
      </w:r>
      <w:r>
        <w:t xml:space="preserve"> 45 C.F.R. § 164.508(c</w:t>
      </w:r>
      <w:proofErr w:type="gramStart"/>
      <w:r>
        <w:t>)(</w:t>
      </w:r>
      <w:proofErr w:type="gramEnd"/>
      <w:r>
        <w:t>1)(iv).</w:t>
      </w:r>
    </w:p>
  </w:footnote>
  <w:footnote w:id="21">
    <w:p w:rsidR="001A396C" w:rsidRDefault="001A396C">
      <w:pPr>
        <w:pStyle w:val="FootnoteText"/>
      </w:pPr>
      <w:r>
        <w:rPr>
          <w:rStyle w:val="FootnoteReference"/>
        </w:rPr>
        <w:footnoteRef/>
      </w:r>
      <w:r>
        <w:t xml:space="preserve"> 45 C.F.R. § 164.508(c</w:t>
      </w:r>
      <w:proofErr w:type="gramStart"/>
      <w:r>
        <w:t>)(</w:t>
      </w:r>
      <w:proofErr w:type="gramEnd"/>
      <w:r>
        <w:t>3).</w:t>
      </w:r>
    </w:p>
  </w:footnote>
  <w:footnote w:id="22">
    <w:p w:rsidR="001A396C" w:rsidRDefault="001A396C">
      <w:pPr>
        <w:pStyle w:val="FootnoteText"/>
      </w:pPr>
      <w:r>
        <w:rPr>
          <w:rStyle w:val="FootnoteReference"/>
        </w:rPr>
        <w:footnoteRef/>
      </w:r>
      <w:r>
        <w:t xml:space="preserve"> 45 C.F.R. § 164.508(c</w:t>
      </w:r>
      <w:proofErr w:type="gramStart"/>
      <w:r>
        <w:t>)(</w:t>
      </w:r>
      <w:proofErr w:type="gramEnd"/>
      <w:r>
        <w:t>4).</w:t>
      </w:r>
    </w:p>
  </w:footnote>
  <w:footnote w:id="23">
    <w:p w:rsidR="001A396C" w:rsidRDefault="001A396C">
      <w:pPr>
        <w:pStyle w:val="FootnoteText"/>
      </w:pPr>
      <w:r>
        <w:rPr>
          <w:rStyle w:val="FootnoteReference"/>
        </w:rPr>
        <w:footnoteRef/>
      </w:r>
      <w:r>
        <w:t xml:space="preserve"> 45 C.F.R. § 164.508(c</w:t>
      </w:r>
      <w:proofErr w:type="gramStart"/>
      <w:r>
        <w:t>)(</w:t>
      </w:r>
      <w:proofErr w:type="gramEnd"/>
      <w:r>
        <w:t>2).</w:t>
      </w:r>
    </w:p>
  </w:footnote>
  <w:footnote w:id="24">
    <w:p w:rsidR="001A396C" w:rsidRDefault="001A396C">
      <w:pPr>
        <w:pStyle w:val="FootnoteText"/>
      </w:pPr>
      <w:r>
        <w:rPr>
          <w:rStyle w:val="FootnoteReference"/>
        </w:rPr>
        <w:footnoteRef/>
      </w:r>
      <w:r>
        <w:t xml:space="preserve"> </w:t>
      </w:r>
      <w:proofErr w:type="gramStart"/>
      <w:r>
        <w:t>RCW 70.02.030(7).</w:t>
      </w:r>
      <w:proofErr w:type="gramEnd"/>
    </w:p>
  </w:footnote>
  <w:footnote w:id="25">
    <w:p w:rsidR="001A396C" w:rsidRDefault="001A396C">
      <w:pPr>
        <w:pStyle w:val="FootnoteText"/>
      </w:pPr>
      <w:r>
        <w:rPr>
          <w:rStyle w:val="FootnoteReference"/>
        </w:rPr>
        <w:footnoteRef/>
      </w:r>
      <w:r>
        <w:t xml:space="preserve"> 45 C.F.R. § 164.508(c</w:t>
      </w:r>
      <w:proofErr w:type="gramStart"/>
      <w:r>
        <w:t>)(</w:t>
      </w:r>
      <w:proofErr w:type="gramEnd"/>
      <w:r>
        <w:t xml:space="preserve">1)(v). </w:t>
      </w:r>
    </w:p>
  </w:footnote>
  <w:footnote w:id="26">
    <w:p w:rsidR="001A396C" w:rsidRDefault="001A396C">
      <w:pPr>
        <w:pStyle w:val="FootnoteText"/>
      </w:pPr>
      <w:r>
        <w:rPr>
          <w:rStyle w:val="FootnoteReference"/>
        </w:rPr>
        <w:footnoteRef/>
      </w:r>
      <w:r>
        <w:t xml:space="preserve"> </w:t>
      </w:r>
      <w:proofErr w:type="gramStart"/>
      <w:r>
        <w:t>RCW 70.02.030(6).</w:t>
      </w:r>
      <w:proofErr w:type="gramEnd"/>
    </w:p>
  </w:footnote>
  <w:footnote w:id="27">
    <w:p w:rsidR="001A396C" w:rsidRDefault="001A396C">
      <w:pPr>
        <w:pStyle w:val="FootnoteText"/>
      </w:pPr>
      <w:r>
        <w:rPr>
          <w:rStyle w:val="FootnoteReference"/>
        </w:rPr>
        <w:footnoteRef/>
      </w:r>
      <w:r>
        <w:t xml:space="preserve"> 45 C.F.R. § 164.508(b</w:t>
      </w:r>
      <w:proofErr w:type="gramStart"/>
      <w:r>
        <w:t>)(</w:t>
      </w:r>
      <w:proofErr w:type="gramEnd"/>
      <w:r>
        <w:t>5); RCW 70.02.040.</w:t>
      </w:r>
    </w:p>
  </w:footnote>
  <w:footnote w:id="28">
    <w:p w:rsidR="001A396C" w:rsidRDefault="001A396C">
      <w:pPr>
        <w:pStyle w:val="FootnoteText"/>
      </w:pPr>
      <w:r>
        <w:rPr>
          <w:rStyle w:val="FootnoteReference"/>
        </w:rPr>
        <w:footnoteRef/>
      </w:r>
      <w:r>
        <w:t xml:space="preserve"> </w:t>
      </w:r>
      <w:proofErr w:type="gramStart"/>
      <w:r>
        <w:t>RCW 70.02.040.</w:t>
      </w:r>
      <w:proofErr w:type="gramEnd"/>
    </w:p>
  </w:footnote>
  <w:footnote w:id="29">
    <w:p w:rsidR="001A396C" w:rsidRDefault="001A396C">
      <w:pPr>
        <w:pStyle w:val="FootnoteText"/>
      </w:pPr>
      <w:r>
        <w:rPr>
          <w:rStyle w:val="FootnoteReference"/>
        </w:rPr>
        <w:footnoteRef/>
      </w:r>
      <w:r>
        <w:t xml:space="preserve"> 45 C.F.R. § 164.514(b</w:t>
      </w:r>
      <w:proofErr w:type="gramStart"/>
      <w:r>
        <w:t>)(</w:t>
      </w:r>
      <w:proofErr w:type="gramEnd"/>
      <w:r>
        <w:t>2).</w:t>
      </w:r>
    </w:p>
  </w:footnote>
  <w:footnote w:id="30">
    <w:p w:rsidR="001A396C" w:rsidRDefault="001A396C">
      <w:pPr>
        <w:pStyle w:val="FootnoteText"/>
      </w:pPr>
      <w:r>
        <w:rPr>
          <w:rStyle w:val="FootnoteReference"/>
        </w:rPr>
        <w:footnoteRef/>
      </w:r>
      <w:r>
        <w:t xml:space="preserve"> </w:t>
      </w:r>
      <w:proofErr w:type="gramStart"/>
      <w:r>
        <w:t>45 C.F.R. § 160.103).</w:t>
      </w:r>
      <w:proofErr w:type="gramEnd"/>
    </w:p>
  </w:footnote>
  <w:footnote w:id="31">
    <w:p w:rsidR="001A396C" w:rsidRDefault="001A396C">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1A396C" w:rsidRDefault="001A396C">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1A396C" w:rsidRDefault="001A396C"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1A396C" w:rsidRPr="00B1793B" w:rsidRDefault="001A396C">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1A396C" w:rsidRDefault="001A396C">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1A396C" w:rsidRPr="00453FFD" w:rsidRDefault="001A396C">
      <w:pPr>
        <w:pStyle w:val="FootnoteText"/>
        <w:rPr>
          <w:highlight w:val="yellow"/>
        </w:rPr>
      </w:pPr>
      <w:r w:rsidRPr="008357A4">
        <w:rPr>
          <w:rStyle w:val="FootnoteReference"/>
        </w:rPr>
        <w:footnoteRef/>
      </w:r>
      <w:r w:rsidRPr="008357A4">
        <w:t xml:space="preserve"> 74 FR 42752 (Aug. 24, 2009)</w:t>
      </w:r>
      <w:r w:rsidRPr="00790EE4">
        <w:t xml:space="preserve">; 42 </w:t>
      </w:r>
      <w:r>
        <w:t>U.S.C.</w:t>
      </w:r>
      <w:r w:rsidRPr="00790EE4">
        <w:t xml:space="preserve"> § 17932 (e</w:t>
      </w:r>
      <w:proofErr w:type="gramStart"/>
      <w:r w:rsidRPr="00790EE4">
        <w:t>)(</w:t>
      </w:r>
      <w:proofErr w:type="gramEnd"/>
      <w:r w:rsidRPr="00790EE4">
        <w:t>2).</w:t>
      </w:r>
    </w:p>
  </w:footnote>
  <w:footnote w:id="40">
    <w:p w:rsidR="001A396C" w:rsidRDefault="001A396C">
      <w:pPr>
        <w:pStyle w:val="FootnoteText"/>
      </w:pPr>
      <w:r w:rsidRPr="008357A4">
        <w:rPr>
          <w:rStyle w:val="FootnoteReference"/>
        </w:rPr>
        <w:footnoteRef/>
      </w:r>
      <w:r w:rsidRPr="008357A4">
        <w:t xml:space="preserve"> 74 FR 42750-45752.</w:t>
      </w:r>
      <w:r>
        <w:t xml:space="preserve"> 45 C.F.R. § 164.404(b)</w:t>
      </w:r>
    </w:p>
  </w:footnote>
  <w:footnote w:id="41">
    <w:p w:rsidR="001A396C" w:rsidRDefault="001A396C">
      <w:pPr>
        <w:pStyle w:val="FootnoteText"/>
      </w:pPr>
      <w:r>
        <w:rPr>
          <w:rStyle w:val="FootnoteReference"/>
        </w:rPr>
        <w:footnoteRef/>
      </w:r>
      <w:r>
        <w:t xml:space="preserve"> </w:t>
      </w:r>
      <w:proofErr w:type="gramStart"/>
      <w:r>
        <w:t>45 C.F.R. § 164.528; RCW 70.02.020(2).</w:t>
      </w:r>
      <w:proofErr w:type="gramEnd"/>
    </w:p>
  </w:footnote>
  <w:footnote w:id="42">
    <w:p w:rsidR="001A396C" w:rsidRDefault="001A396C">
      <w:pPr>
        <w:pStyle w:val="FootnoteText"/>
      </w:pPr>
      <w:r>
        <w:rPr>
          <w:rStyle w:val="FootnoteReference"/>
        </w:rPr>
        <w:footnoteRef/>
      </w:r>
      <w:r>
        <w:t xml:space="preserve"> 45 C.F.R. § 164.528(c</w:t>
      </w:r>
      <w:proofErr w:type="gramStart"/>
      <w:r>
        <w:t>)(</w:t>
      </w:r>
      <w:proofErr w:type="gramEnd"/>
      <w:r>
        <w:t>1).</w:t>
      </w:r>
    </w:p>
  </w:footnote>
  <w:footnote w:id="43">
    <w:p w:rsidR="001A396C" w:rsidRDefault="001A396C">
      <w:pPr>
        <w:pStyle w:val="FootnoteText"/>
      </w:pPr>
      <w:r>
        <w:rPr>
          <w:rStyle w:val="FootnoteReference"/>
        </w:rPr>
        <w:footnoteRef/>
      </w:r>
      <w:r>
        <w:t xml:space="preserve"> 45 C.F.R. § 164.528(c</w:t>
      </w:r>
      <w:proofErr w:type="gramStart"/>
      <w:r>
        <w:t>)(</w:t>
      </w:r>
      <w:proofErr w:type="gramEnd"/>
      <w:r>
        <w:t>1)(ii)(B).</w:t>
      </w:r>
    </w:p>
  </w:footnote>
  <w:footnote w:id="44">
    <w:p w:rsidR="001A396C" w:rsidRDefault="001A396C">
      <w:pPr>
        <w:pStyle w:val="FootnoteText"/>
      </w:pPr>
      <w:r>
        <w:rPr>
          <w:rStyle w:val="FootnoteReference"/>
        </w:rPr>
        <w:footnoteRef/>
      </w:r>
      <w:r>
        <w:t xml:space="preserve"> 45 C.F.R. § 164.528(b</w:t>
      </w:r>
      <w:proofErr w:type="gramStart"/>
      <w:r>
        <w:t>)(</w:t>
      </w:r>
      <w:proofErr w:type="gramEnd"/>
      <w:r>
        <w:t>2).</w:t>
      </w:r>
    </w:p>
  </w:footnote>
  <w:footnote w:id="45">
    <w:p w:rsidR="001A396C" w:rsidRDefault="001A396C">
      <w:pPr>
        <w:pStyle w:val="FootnoteText"/>
      </w:pPr>
      <w:r>
        <w:rPr>
          <w:rStyle w:val="FootnoteReference"/>
        </w:rPr>
        <w:footnoteRef/>
      </w:r>
      <w:r>
        <w:t xml:space="preserve"> 45 C.F.R. § 164.528(c</w:t>
      </w:r>
      <w:proofErr w:type="gramStart"/>
      <w:r>
        <w:t>)(</w:t>
      </w:r>
      <w:proofErr w:type="gramEnd"/>
      <w:r>
        <w:t>2).</w:t>
      </w:r>
    </w:p>
  </w:footnote>
  <w:footnote w:id="46">
    <w:p w:rsidR="001A396C" w:rsidRPr="00727913" w:rsidRDefault="001A396C">
      <w:pPr>
        <w:pStyle w:val="FootnoteText"/>
      </w:pPr>
      <w:r>
        <w:rPr>
          <w:rStyle w:val="FootnoteReference"/>
        </w:rPr>
        <w:footnoteRef/>
      </w:r>
      <w:r>
        <w:t xml:space="preserve"> </w:t>
      </w:r>
      <w:r>
        <w:rPr>
          <w:i/>
        </w:rPr>
        <w:t>Id</w:t>
      </w:r>
      <w:r>
        <w:t>.</w:t>
      </w:r>
    </w:p>
  </w:footnote>
  <w:footnote w:id="47">
    <w:p w:rsidR="001A396C" w:rsidRDefault="001A396C">
      <w:pPr>
        <w:pStyle w:val="FootnoteText"/>
      </w:pPr>
      <w:r>
        <w:rPr>
          <w:rStyle w:val="FootnoteReference"/>
        </w:rPr>
        <w:footnoteRef/>
      </w:r>
      <w:r>
        <w:t xml:space="preserve"> </w:t>
      </w:r>
      <w:proofErr w:type="gramStart"/>
      <w:r>
        <w:t>RCW 71.05.390; RCW 71.05.420; RCW 71.05.630; RCW 71.34.340 (minors).</w:t>
      </w:r>
      <w:proofErr w:type="gramEnd"/>
    </w:p>
  </w:footnote>
  <w:footnote w:id="48">
    <w:p w:rsidR="001A396C" w:rsidRDefault="001A396C">
      <w:pPr>
        <w:pStyle w:val="FootnoteText"/>
      </w:pPr>
      <w:r>
        <w:rPr>
          <w:rStyle w:val="FootnoteReference"/>
        </w:rPr>
        <w:footnoteRef/>
      </w:r>
      <w:r>
        <w:t xml:space="preserve"> </w:t>
      </w:r>
      <w:proofErr w:type="gramStart"/>
      <w:r>
        <w:t>RCW 70.96A.150; RCW 70.96A.230.</w:t>
      </w:r>
      <w:proofErr w:type="gramEnd"/>
    </w:p>
  </w:footnote>
  <w:footnote w:id="49">
    <w:p w:rsidR="001A396C" w:rsidRDefault="001A396C">
      <w:pPr>
        <w:pStyle w:val="FootnoteText"/>
      </w:pPr>
      <w:r>
        <w:rPr>
          <w:rStyle w:val="FootnoteReference"/>
        </w:rPr>
        <w:footnoteRef/>
      </w:r>
      <w:r>
        <w:t xml:space="preserve"> </w:t>
      </w:r>
      <w:proofErr w:type="gramStart"/>
      <w:r>
        <w:t>RCW 70.24.105.</w:t>
      </w:r>
      <w:proofErr w:type="gramEnd"/>
    </w:p>
  </w:footnote>
  <w:footnote w:id="50">
    <w:p w:rsidR="001A396C" w:rsidRDefault="001A396C">
      <w:pPr>
        <w:pStyle w:val="FootnoteText"/>
      </w:pPr>
      <w:r>
        <w:rPr>
          <w:rStyle w:val="FootnoteReference"/>
        </w:rPr>
        <w:footnoteRef/>
      </w:r>
      <w:r>
        <w:t xml:space="preserve"> 45 C.F.R. § 164.508(a</w:t>
      </w:r>
      <w:proofErr w:type="gramStart"/>
      <w:r>
        <w:t>)(</w:t>
      </w:r>
      <w:proofErr w:type="gramEnd"/>
      <w:r>
        <w:t>2).</w:t>
      </w:r>
    </w:p>
  </w:footnote>
  <w:footnote w:id="51">
    <w:p w:rsidR="001A396C" w:rsidRDefault="001A396C">
      <w:pPr>
        <w:pStyle w:val="FootnoteText"/>
      </w:pPr>
      <w:r>
        <w:rPr>
          <w:rStyle w:val="FootnoteReference"/>
        </w:rPr>
        <w:footnoteRef/>
      </w:r>
      <w:r>
        <w:t xml:space="preserve"> 45 C.F.R. § 164.502(g</w:t>
      </w:r>
      <w:proofErr w:type="gramStart"/>
      <w:r>
        <w:t>)(</w:t>
      </w:r>
      <w:proofErr w:type="gramEnd"/>
      <w:r>
        <w:t>3); RCW 70.02.130(1).</w:t>
      </w:r>
    </w:p>
  </w:footnote>
  <w:footnote w:id="52">
    <w:p w:rsidR="001A396C" w:rsidRPr="00FA15A8" w:rsidRDefault="001A396C">
      <w:pPr>
        <w:pStyle w:val="FootnoteText"/>
      </w:pPr>
      <w:r>
        <w:rPr>
          <w:rStyle w:val="FootnoteReference"/>
        </w:rPr>
        <w:footnoteRef/>
      </w:r>
      <w:r>
        <w:t xml:space="preserve"> </w:t>
      </w:r>
      <w:r>
        <w:rPr>
          <w:i/>
        </w:rPr>
        <w:t>Id</w:t>
      </w:r>
      <w:r>
        <w:t>.</w:t>
      </w:r>
    </w:p>
  </w:footnote>
  <w:footnote w:id="53">
    <w:p w:rsidR="001A396C" w:rsidRPr="00FA15A8" w:rsidRDefault="001A396C">
      <w:pPr>
        <w:pStyle w:val="FootnoteText"/>
      </w:pPr>
      <w:r>
        <w:rPr>
          <w:rStyle w:val="FootnoteReference"/>
        </w:rPr>
        <w:footnoteRef/>
      </w:r>
      <w:r>
        <w:t xml:space="preserve"> </w:t>
      </w:r>
      <w:r>
        <w:rPr>
          <w:i/>
        </w:rPr>
        <w:t>Id</w:t>
      </w:r>
      <w:r>
        <w:t>.</w:t>
      </w:r>
    </w:p>
  </w:footnote>
  <w:footnote w:id="54">
    <w:p w:rsidR="001A396C" w:rsidRPr="00826776" w:rsidRDefault="001A396C">
      <w:pPr>
        <w:pStyle w:val="FootnoteText"/>
      </w:pPr>
      <w:r>
        <w:rPr>
          <w:rStyle w:val="FootnoteReference"/>
        </w:rPr>
        <w:footnoteRef/>
      </w:r>
      <w:r>
        <w:t xml:space="preserve"> </w:t>
      </w:r>
      <w:r>
        <w:rPr>
          <w:i/>
        </w:rPr>
        <w:t>Id</w:t>
      </w:r>
      <w:r>
        <w:t>.</w:t>
      </w:r>
    </w:p>
  </w:footnote>
  <w:footnote w:id="55">
    <w:p w:rsidR="001A396C" w:rsidRDefault="001A396C">
      <w:pPr>
        <w:pStyle w:val="FootnoteText"/>
      </w:pPr>
      <w:r>
        <w:rPr>
          <w:rStyle w:val="FootnoteReference"/>
        </w:rPr>
        <w:footnoteRef/>
      </w:r>
      <w:r>
        <w:t xml:space="preserve"> </w:t>
      </w:r>
      <w:proofErr w:type="gramStart"/>
      <w:r>
        <w:t>RCW 26.09.225.</w:t>
      </w:r>
      <w:proofErr w:type="gramEnd"/>
    </w:p>
  </w:footnote>
  <w:footnote w:id="56">
    <w:p w:rsidR="001A396C" w:rsidRDefault="001A396C">
      <w:pPr>
        <w:pStyle w:val="FootnoteText"/>
      </w:pPr>
      <w:r>
        <w:rPr>
          <w:rStyle w:val="FootnoteReference"/>
        </w:rPr>
        <w:footnoteRef/>
      </w:r>
      <w:r>
        <w:t xml:space="preserve"> 45 C.F.R. § 164.502(g</w:t>
      </w:r>
      <w:proofErr w:type="gramStart"/>
      <w:r>
        <w:t>)(</w:t>
      </w:r>
      <w:proofErr w:type="gramEnd"/>
      <w:r>
        <w:t>4).</w:t>
      </w:r>
    </w:p>
  </w:footnote>
  <w:footnote w:id="57">
    <w:p w:rsidR="001A396C" w:rsidRDefault="001A396C">
      <w:pPr>
        <w:pStyle w:val="FootnoteText"/>
      </w:pPr>
      <w:r>
        <w:rPr>
          <w:rStyle w:val="FootnoteReference"/>
        </w:rPr>
        <w:footnoteRef/>
      </w:r>
      <w:r>
        <w:t xml:space="preserve"> </w:t>
      </w:r>
      <w:proofErr w:type="gramStart"/>
      <w:r>
        <w:t>78 FR 5613-5614 (Jan. 25, 2013); 45 C.F.R. 164.502(f).</w:t>
      </w:r>
      <w:proofErr w:type="gramEnd"/>
    </w:p>
  </w:footnote>
  <w:footnote w:id="58">
    <w:p w:rsidR="001A396C" w:rsidRDefault="001A396C">
      <w:pPr>
        <w:pStyle w:val="FootnoteText"/>
      </w:pPr>
      <w:r>
        <w:rPr>
          <w:rStyle w:val="FootnoteReference"/>
        </w:rPr>
        <w:footnoteRef/>
      </w:r>
      <w:r>
        <w:t xml:space="preserve"> 78 FR 5614-5616 (Jan. 25, 2013); 45 C.F.R. § 164.510(b</w:t>
      </w:r>
      <w:proofErr w:type="gramStart"/>
      <w:r>
        <w:t>)(</w:t>
      </w:r>
      <w:proofErr w:type="gramEnd"/>
      <w:r>
        <w:t>5).</w:t>
      </w:r>
    </w:p>
  </w:footnote>
  <w:footnote w:id="59">
    <w:p w:rsidR="001A396C" w:rsidRPr="00CD6DAA" w:rsidRDefault="001A396C">
      <w:pPr>
        <w:pStyle w:val="FootnoteText"/>
      </w:pPr>
      <w:r>
        <w:rPr>
          <w:rStyle w:val="FootnoteReference"/>
        </w:rPr>
        <w:footnoteRef/>
      </w:r>
      <w:r>
        <w:t xml:space="preserve"> </w:t>
      </w:r>
      <w:r>
        <w:rPr>
          <w:i/>
        </w:rPr>
        <w:t>Id</w:t>
      </w:r>
      <w:r>
        <w:t>.</w:t>
      </w:r>
    </w:p>
  </w:footnote>
  <w:footnote w:id="60">
    <w:p w:rsidR="001A396C" w:rsidRDefault="001A396C">
      <w:pPr>
        <w:pStyle w:val="FootnoteText"/>
      </w:pPr>
      <w:r>
        <w:rPr>
          <w:rStyle w:val="FootnoteReference"/>
        </w:rPr>
        <w:footnoteRef/>
      </w:r>
      <w:r>
        <w:t xml:space="preserve"> </w:t>
      </w:r>
      <w:proofErr w:type="gramStart"/>
      <w:r w:rsidRPr="00F012C1">
        <w:t>45 C.F.R.</w:t>
      </w:r>
      <w:r>
        <w:t xml:space="preserve"> § 164.524(d).</w:t>
      </w:r>
      <w:proofErr w:type="gramEnd"/>
    </w:p>
  </w:footnote>
  <w:footnote w:id="61">
    <w:p w:rsidR="001A396C" w:rsidRDefault="001A396C">
      <w:pPr>
        <w:pStyle w:val="FootnoteText"/>
      </w:pPr>
      <w:r>
        <w:rPr>
          <w:rStyle w:val="FootnoteReference"/>
        </w:rPr>
        <w:footnoteRef/>
      </w:r>
      <w:r>
        <w:t xml:space="preserve"> </w:t>
      </w:r>
      <w:proofErr w:type="gramStart"/>
      <w:r>
        <w:t>45 C.F.R. § 164.506(c); RCW 70.02.050(1).</w:t>
      </w:r>
      <w:proofErr w:type="gramEnd"/>
    </w:p>
  </w:footnote>
  <w:footnote w:id="62">
    <w:p w:rsidR="001A396C" w:rsidRDefault="001A396C">
      <w:pPr>
        <w:pStyle w:val="FootnoteText"/>
      </w:pPr>
      <w:r>
        <w:rPr>
          <w:rStyle w:val="FootnoteReference"/>
        </w:rPr>
        <w:footnoteRef/>
      </w:r>
      <w:r>
        <w:t xml:space="preserve"> 45 C.F.R. § 164.510(b)(2); </w:t>
      </w:r>
    </w:p>
  </w:footnote>
  <w:footnote w:id="63">
    <w:p w:rsidR="001A396C" w:rsidRDefault="001A396C">
      <w:pPr>
        <w:pStyle w:val="FootnoteText"/>
      </w:pPr>
      <w:r>
        <w:rPr>
          <w:rStyle w:val="FootnoteReference"/>
        </w:rPr>
        <w:footnoteRef/>
      </w:r>
      <w:r>
        <w:t xml:space="preserve"> 45 C.F.R. § 164.510(b</w:t>
      </w:r>
      <w:proofErr w:type="gramStart"/>
      <w:r>
        <w:t>)(</w:t>
      </w:r>
      <w:proofErr w:type="gramEnd"/>
      <w:r>
        <w:t>3); RCW 70.02.050(1)(c).</w:t>
      </w:r>
    </w:p>
  </w:footnote>
  <w:footnote w:id="64">
    <w:p w:rsidR="001A396C" w:rsidRDefault="001A396C">
      <w:pPr>
        <w:pStyle w:val="FootnoteText"/>
      </w:pPr>
      <w:r>
        <w:rPr>
          <w:rStyle w:val="FootnoteReference"/>
        </w:rPr>
        <w:footnoteRef/>
      </w:r>
      <w:r>
        <w:t xml:space="preserve"> 45 C.F.R. § 164.512; RCW 70.02.050</w:t>
      </w:r>
    </w:p>
  </w:footnote>
  <w:footnote w:id="65">
    <w:p w:rsidR="001A396C" w:rsidRDefault="001A396C">
      <w:pPr>
        <w:pStyle w:val="FootnoteText"/>
      </w:pPr>
      <w:r>
        <w:rPr>
          <w:rStyle w:val="FootnoteReference"/>
        </w:rPr>
        <w:footnoteRef/>
      </w:r>
      <w:r>
        <w:t xml:space="preserve"> RCW 70.02.050(1</w:t>
      </w:r>
      <w:proofErr w:type="gramStart"/>
      <w:r>
        <w:t>)(</w:t>
      </w:r>
      <w:proofErr w:type="gramEnd"/>
      <w:r>
        <w:t>b).</w:t>
      </w:r>
    </w:p>
  </w:footnote>
  <w:footnote w:id="66">
    <w:p w:rsidR="001A396C" w:rsidRPr="00DC6B2C" w:rsidRDefault="001A396C">
      <w:pPr>
        <w:pStyle w:val="FootnoteText"/>
      </w:pPr>
      <w:r>
        <w:rPr>
          <w:rStyle w:val="FootnoteReference"/>
        </w:rPr>
        <w:footnoteRef/>
      </w:r>
      <w:r>
        <w:t xml:space="preserve"> </w:t>
      </w:r>
      <w:r>
        <w:rPr>
          <w:i/>
        </w:rPr>
        <w:t>Id</w:t>
      </w:r>
      <w:r>
        <w:t>.</w:t>
      </w:r>
    </w:p>
  </w:footnote>
  <w:footnote w:id="67">
    <w:p w:rsidR="001A396C" w:rsidRDefault="001A396C">
      <w:pPr>
        <w:pStyle w:val="FootnoteText"/>
      </w:pPr>
      <w:r>
        <w:rPr>
          <w:rStyle w:val="FootnoteReference"/>
        </w:rPr>
        <w:footnoteRef/>
      </w:r>
      <w:r>
        <w:t xml:space="preserve"> RCW 70.02.050(1</w:t>
      </w:r>
      <w:proofErr w:type="gramStart"/>
      <w:r>
        <w:t>)(</w:t>
      </w:r>
      <w:proofErr w:type="gramEnd"/>
      <w:r>
        <w:t>d).</w:t>
      </w:r>
    </w:p>
  </w:footnote>
  <w:footnote w:id="68">
    <w:p w:rsidR="001A396C" w:rsidRDefault="001A396C">
      <w:pPr>
        <w:pStyle w:val="FootnoteText"/>
      </w:pPr>
      <w:r>
        <w:rPr>
          <w:rStyle w:val="FootnoteReference"/>
        </w:rPr>
        <w:footnoteRef/>
      </w:r>
      <w:r>
        <w:t xml:space="preserve"> RCW 70.02.050(1</w:t>
      </w:r>
      <w:proofErr w:type="gramStart"/>
      <w:r>
        <w:t>)(</w:t>
      </w:r>
      <w:proofErr w:type="gramEnd"/>
      <w:r>
        <w:t>g).</w:t>
      </w:r>
    </w:p>
  </w:footnote>
  <w:footnote w:id="69">
    <w:p w:rsidR="001A396C" w:rsidRDefault="001A396C">
      <w:pPr>
        <w:pStyle w:val="FootnoteText"/>
      </w:pPr>
      <w:r>
        <w:rPr>
          <w:rStyle w:val="FootnoteReference"/>
        </w:rPr>
        <w:footnoteRef/>
      </w:r>
      <w:r>
        <w:t xml:space="preserve"> RCW 70.02.050(1</w:t>
      </w:r>
      <w:proofErr w:type="gramStart"/>
      <w:r>
        <w:t>)(</w:t>
      </w:r>
      <w:proofErr w:type="gramEnd"/>
      <w:r>
        <w:t>h).</w:t>
      </w:r>
    </w:p>
  </w:footnote>
  <w:footnote w:id="70">
    <w:p w:rsidR="001A396C" w:rsidRDefault="001A396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1A396C" w:rsidRDefault="001A396C">
      <w:pPr>
        <w:pStyle w:val="FootnoteText"/>
      </w:pPr>
      <w:r>
        <w:rPr>
          <w:rStyle w:val="FootnoteReference"/>
        </w:rPr>
        <w:footnoteRef/>
      </w:r>
      <w:r>
        <w:t xml:space="preserve"> RCW 70.02.050(1)(l)</w:t>
      </w:r>
    </w:p>
  </w:footnote>
  <w:footnote w:id="72">
    <w:p w:rsidR="001A396C" w:rsidRDefault="001A396C">
      <w:pPr>
        <w:pStyle w:val="FootnoteText"/>
      </w:pPr>
      <w:r>
        <w:rPr>
          <w:rStyle w:val="FootnoteReference"/>
        </w:rPr>
        <w:footnoteRef/>
      </w:r>
      <w:r>
        <w:t xml:space="preserve"> RCW 70.02.050(m); RCW 70.02.010(8</w:t>
      </w:r>
      <w:proofErr w:type="gramStart"/>
      <w:r>
        <w:t>)(</w:t>
      </w:r>
      <w:proofErr w:type="gramEnd"/>
      <w:r>
        <w:t>a)-(b).</w:t>
      </w:r>
    </w:p>
  </w:footnote>
  <w:footnote w:id="73">
    <w:p w:rsidR="001A396C" w:rsidRDefault="001A396C">
      <w:pPr>
        <w:pStyle w:val="FootnoteText"/>
      </w:pPr>
      <w:r>
        <w:rPr>
          <w:rStyle w:val="FootnoteReference"/>
        </w:rPr>
        <w:footnoteRef/>
      </w:r>
      <w:r>
        <w:t xml:space="preserve"> RCW 70.02.050(1</w:t>
      </w:r>
      <w:proofErr w:type="gramStart"/>
      <w:r>
        <w:t>)(</w:t>
      </w:r>
      <w:proofErr w:type="gramEnd"/>
      <w:r>
        <w:t>n).</w:t>
      </w:r>
    </w:p>
  </w:footnote>
  <w:footnote w:id="74">
    <w:p w:rsidR="001A396C" w:rsidRDefault="001A396C">
      <w:pPr>
        <w:pStyle w:val="FootnoteText"/>
      </w:pPr>
      <w:r>
        <w:rPr>
          <w:rStyle w:val="FootnoteReference"/>
        </w:rPr>
        <w:footnoteRef/>
      </w:r>
      <w:r>
        <w:t xml:space="preserve"> RCW 70.02.050(1</w:t>
      </w:r>
      <w:proofErr w:type="gramStart"/>
      <w:r>
        <w:t>)(</w:t>
      </w:r>
      <w:proofErr w:type="gramEnd"/>
      <w:r>
        <w:t>k).</w:t>
      </w:r>
    </w:p>
  </w:footnote>
  <w:footnote w:id="75">
    <w:p w:rsidR="001A396C" w:rsidRDefault="001A396C">
      <w:pPr>
        <w:pStyle w:val="FootnoteText"/>
      </w:pPr>
      <w:r>
        <w:rPr>
          <w:rStyle w:val="FootnoteReference"/>
        </w:rPr>
        <w:footnoteRef/>
      </w:r>
      <w:r>
        <w:t xml:space="preserve"> </w:t>
      </w:r>
      <w:proofErr w:type="gramStart"/>
      <w:r>
        <w:t>45 C.F.R. § 164.512.</w:t>
      </w:r>
      <w:proofErr w:type="gramEnd"/>
    </w:p>
  </w:footnote>
  <w:footnote w:id="76">
    <w:p w:rsidR="001A396C" w:rsidRDefault="001A396C">
      <w:pPr>
        <w:pStyle w:val="FootnoteText"/>
      </w:pPr>
      <w:r>
        <w:rPr>
          <w:rStyle w:val="FootnoteReference"/>
        </w:rPr>
        <w:footnoteRef/>
      </w:r>
      <w:r>
        <w:t xml:space="preserve"> 45 C.F.R. § 164.512(a); RCW 70.02.050(2</w:t>
      </w:r>
      <w:proofErr w:type="gramStart"/>
      <w:r>
        <w:t>)(</w:t>
      </w:r>
      <w:proofErr w:type="gramEnd"/>
      <w:r>
        <w:t>a).</w:t>
      </w:r>
    </w:p>
  </w:footnote>
  <w:footnote w:id="77">
    <w:p w:rsidR="001A396C" w:rsidRDefault="001A396C">
      <w:pPr>
        <w:pStyle w:val="FootnoteText"/>
      </w:pPr>
      <w:r>
        <w:rPr>
          <w:rStyle w:val="FootnoteReference"/>
        </w:rPr>
        <w:footnoteRef/>
      </w:r>
      <w:r>
        <w:t xml:space="preserve"> 45 C.F.R. § 164.512(a); RCW 70.02.050(2</w:t>
      </w:r>
      <w:proofErr w:type="gramStart"/>
      <w:r>
        <w:t>)(</w:t>
      </w:r>
      <w:proofErr w:type="gramEnd"/>
      <w:r>
        <w:t>b).</w:t>
      </w:r>
    </w:p>
  </w:footnote>
  <w:footnote w:id="78">
    <w:p w:rsidR="001A396C" w:rsidRDefault="001A396C">
      <w:pPr>
        <w:pStyle w:val="FootnoteText"/>
      </w:pPr>
      <w:r>
        <w:rPr>
          <w:rStyle w:val="FootnoteReference"/>
        </w:rPr>
        <w:footnoteRef/>
      </w:r>
      <w:r>
        <w:t xml:space="preserve"> RCW 70.02.050(2</w:t>
      </w:r>
      <w:proofErr w:type="gramStart"/>
      <w:r>
        <w:t>)(</w:t>
      </w:r>
      <w:proofErr w:type="gramEnd"/>
      <w:r>
        <w:t>c).</w:t>
      </w:r>
    </w:p>
  </w:footnote>
  <w:footnote w:id="79">
    <w:p w:rsidR="001A396C" w:rsidRPr="00C06429" w:rsidRDefault="001A396C">
      <w:pPr>
        <w:pStyle w:val="FootnoteText"/>
      </w:pPr>
      <w:r>
        <w:rPr>
          <w:rStyle w:val="FootnoteReference"/>
        </w:rPr>
        <w:footnoteRef/>
      </w:r>
      <w:r>
        <w:t xml:space="preserve"> </w:t>
      </w:r>
      <w:r>
        <w:rPr>
          <w:i/>
        </w:rPr>
        <w:t>Id</w:t>
      </w:r>
      <w:r>
        <w:t>.</w:t>
      </w:r>
    </w:p>
  </w:footnote>
  <w:footnote w:id="80">
    <w:p w:rsidR="001A396C" w:rsidRPr="00C06429" w:rsidRDefault="001A396C">
      <w:pPr>
        <w:pStyle w:val="FootnoteText"/>
      </w:pPr>
      <w:r>
        <w:rPr>
          <w:rStyle w:val="FootnoteReference"/>
        </w:rPr>
        <w:footnoteRef/>
      </w:r>
      <w:r>
        <w:t xml:space="preserve"> </w:t>
      </w:r>
      <w:r>
        <w:rPr>
          <w:i/>
        </w:rPr>
        <w:t>Id</w:t>
      </w:r>
      <w:r>
        <w:t>.</w:t>
      </w:r>
    </w:p>
  </w:footnote>
  <w:footnote w:id="81">
    <w:p w:rsidR="001A396C" w:rsidRDefault="001A396C">
      <w:pPr>
        <w:pStyle w:val="FootnoteText"/>
      </w:pPr>
      <w:r>
        <w:rPr>
          <w:rStyle w:val="FootnoteReference"/>
        </w:rPr>
        <w:footnoteRef/>
      </w:r>
      <w:r>
        <w:t xml:space="preserve"> 45 C.F.R. § 164.512(g); RCW 70.02.050(2</w:t>
      </w:r>
      <w:proofErr w:type="gramStart"/>
      <w:r>
        <w:t>)(</w:t>
      </w:r>
      <w:proofErr w:type="gramEnd"/>
      <w:r>
        <w:t>d).</w:t>
      </w:r>
    </w:p>
  </w:footnote>
  <w:footnote w:id="82">
    <w:p w:rsidR="001A396C" w:rsidRDefault="001A396C">
      <w:pPr>
        <w:pStyle w:val="FootnoteText"/>
      </w:pPr>
      <w:r>
        <w:rPr>
          <w:rStyle w:val="FootnoteReference"/>
        </w:rPr>
        <w:footnoteRef/>
      </w:r>
      <w:r>
        <w:t xml:space="preserve"> 45 C.F.R. § 164.512(e</w:t>
      </w:r>
      <w:proofErr w:type="gramStart"/>
      <w:r>
        <w:t>)(</w:t>
      </w:r>
      <w:proofErr w:type="gramEnd"/>
      <w:r>
        <w:t>ii); RCW 70.02.050(2)(e).</w:t>
      </w:r>
    </w:p>
  </w:footnote>
  <w:footnote w:id="83">
    <w:p w:rsidR="001A396C" w:rsidRDefault="001A396C">
      <w:pPr>
        <w:pStyle w:val="FootnoteText"/>
      </w:pPr>
      <w:r>
        <w:rPr>
          <w:rStyle w:val="FootnoteReference"/>
        </w:rPr>
        <w:footnoteRef/>
      </w:r>
      <w:r>
        <w:t xml:space="preserve"> </w:t>
      </w:r>
      <w:proofErr w:type="gramStart"/>
      <w:r>
        <w:t>RCW 70.02.080(1).</w:t>
      </w:r>
      <w:proofErr w:type="gramEnd"/>
    </w:p>
  </w:footnote>
  <w:footnote w:id="84">
    <w:p w:rsidR="001A396C" w:rsidRDefault="001A396C">
      <w:pPr>
        <w:pStyle w:val="FootnoteText"/>
      </w:pPr>
      <w:r>
        <w:rPr>
          <w:rStyle w:val="FootnoteReference"/>
        </w:rPr>
        <w:footnoteRef/>
      </w:r>
      <w:r>
        <w:t xml:space="preserve"> 45 C.F.R. § 164.524(b</w:t>
      </w:r>
      <w:proofErr w:type="gramStart"/>
      <w:r>
        <w:t>)(</w:t>
      </w:r>
      <w:proofErr w:type="gramEnd"/>
      <w:r>
        <w:t>2).</w:t>
      </w:r>
    </w:p>
  </w:footnote>
  <w:footnote w:id="8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86">
    <w:p w:rsidR="001A396C" w:rsidRDefault="001A396C">
      <w:pPr>
        <w:pStyle w:val="FootnoteText"/>
      </w:pPr>
      <w:r>
        <w:rPr>
          <w:rStyle w:val="FootnoteReference"/>
        </w:rPr>
        <w:footnoteRef/>
      </w:r>
      <w:r>
        <w:t xml:space="preserve"> </w:t>
      </w:r>
      <w:proofErr w:type="gramStart"/>
      <w:r>
        <w:t>RCW 70.02.080(1); 45 C.F.R. § 164.524(d).</w:t>
      </w:r>
      <w:proofErr w:type="gramEnd"/>
    </w:p>
  </w:footnote>
  <w:footnote w:id="87">
    <w:p w:rsidR="001A396C" w:rsidRDefault="001A396C">
      <w:pPr>
        <w:pStyle w:val="FootnoteText"/>
      </w:pPr>
      <w:r>
        <w:rPr>
          <w:rStyle w:val="FootnoteReference"/>
        </w:rPr>
        <w:footnoteRef/>
      </w:r>
      <w:r>
        <w:t xml:space="preserve"> </w:t>
      </w:r>
      <w:proofErr w:type="gramStart"/>
      <w:r>
        <w:t>RCW 70.02.080(2).</w:t>
      </w:r>
      <w:proofErr w:type="gramEnd"/>
    </w:p>
  </w:footnote>
  <w:footnote w:id="88">
    <w:p w:rsidR="001A396C" w:rsidRPr="009A71E7" w:rsidRDefault="001A396C">
      <w:pPr>
        <w:pStyle w:val="FootnoteText"/>
      </w:pPr>
      <w:r>
        <w:rPr>
          <w:rStyle w:val="FootnoteReference"/>
        </w:rPr>
        <w:footnoteRef/>
      </w:r>
      <w:r>
        <w:t xml:space="preserve"> </w:t>
      </w:r>
      <w:r>
        <w:rPr>
          <w:i/>
        </w:rPr>
        <w:t>Id</w:t>
      </w:r>
      <w:r>
        <w:t>.</w:t>
      </w:r>
    </w:p>
  </w:footnote>
  <w:footnote w:id="89">
    <w:p w:rsidR="001A396C" w:rsidRDefault="001A396C">
      <w:pPr>
        <w:pStyle w:val="FootnoteText"/>
      </w:pPr>
      <w:r>
        <w:rPr>
          <w:rStyle w:val="FootnoteReference"/>
        </w:rPr>
        <w:footnoteRef/>
      </w:r>
      <w:r>
        <w:t xml:space="preserve"> </w:t>
      </w:r>
      <w:proofErr w:type="gramStart"/>
      <w:r>
        <w:t>RCW 70.02.090(1).</w:t>
      </w:r>
      <w:proofErr w:type="gramEnd"/>
    </w:p>
  </w:footnote>
  <w:footnote w:id="90">
    <w:p w:rsidR="001A396C" w:rsidRDefault="001A396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1A396C" w:rsidRDefault="001A396C">
      <w:pPr>
        <w:pStyle w:val="FootnoteText"/>
      </w:pPr>
      <w:r>
        <w:rPr>
          <w:rStyle w:val="FootnoteReference"/>
        </w:rPr>
        <w:footnoteRef/>
      </w:r>
      <w:r>
        <w:t xml:space="preserve"> </w:t>
      </w:r>
      <w:proofErr w:type="gramStart"/>
      <w:r>
        <w:t>RCW 71.05.630.</w:t>
      </w:r>
      <w:proofErr w:type="gramEnd"/>
    </w:p>
  </w:footnote>
  <w:footnote w:id="92">
    <w:p w:rsidR="001A396C" w:rsidRDefault="001A396C">
      <w:pPr>
        <w:pStyle w:val="FootnoteText"/>
      </w:pPr>
      <w:r>
        <w:rPr>
          <w:rStyle w:val="FootnoteReference"/>
        </w:rPr>
        <w:footnoteRef/>
      </w:r>
      <w:r>
        <w:t xml:space="preserve"> </w:t>
      </w:r>
      <w:proofErr w:type="gramStart"/>
      <w:r>
        <w:t>45 C.F.R. § 164.524(d); RCW 70.02.090(2).</w:t>
      </w:r>
      <w:proofErr w:type="gramEnd"/>
    </w:p>
  </w:footnote>
  <w:footnote w:id="93">
    <w:p w:rsidR="001A396C" w:rsidRDefault="001A396C">
      <w:pPr>
        <w:pStyle w:val="FootnoteText"/>
      </w:pPr>
      <w:r>
        <w:rPr>
          <w:rStyle w:val="FootnoteReference"/>
        </w:rPr>
        <w:footnoteRef/>
      </w:r>
      <w:r>
        <w:t xml:space="preserve"> 45 C.F.R. § 164.524(d</w:t>
      </w:r>
      <w:proofErr w:type="gramStart"/>
      <w:r>
        <w:t>)(</w:t>
      </w:r>
      <w:proofErr w:type="gramEnd"/>
      <w:r>
        <w:t>4); RCW 70.02.090(3).</w:t>
      </w:r>
    </w:p>
  </w:footnote>
  <w:footnote w:id="94">
    <w:p w:rsidR="001A396C" w:rsidRDefault="001A396C">
      <w:pPr>
        <w:pStyle w:val="FootnoteText"/>
      </w:pPr>
      <w:r>
        <w:rPr>
          <w:rStyle w:val="FootnoteReference"/>
        </w:rPr>
        <w:footnoteRef/>
      </w:r>
      <w:r>
        <w:t xml:space="preserve"> 45 C.F.R. § 164.524(d</w:t>
      </w:r>
      <w:proofErr w:type="gramStart"/>
      <w:r>
        <w:t>)(</w:t>
      </w:r>
      <w:proofErr w:type="gramEnd"/>
      <w:r>
        <w:t>2).</w:t>
      </w:r>
    </w:p>
  </w:footnote>
  <w:footnote w:id="9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96">
    <w:p w:rsidR="001A396C" w:rsidRDefault="001A396C">
      <w:pPr>
        <w:pStyle w:val="FootnoteText"/>
      </w:pPr>
      <w:r>
        <w:rPr>
          <w:rStyle w:val="FootnoteReference"/>
        </w:rPr>
        <w:footnoteRef/>
      </w:r>
      <w:r>
        <w:t xml:space="preserve"> </w:t>
      </w:r>
      <w:proofErr w:type="gramStart"/>
      <w:r>
        <w:t>WAC 246-08-400.</w:t>
      </w:r>
      <w:proofErr w:type="gramEnd"/>
    </w:p>
  </w:footnote>
  <w:footnote w:id="97">
    <w:p w:rsidR="001A396C" w:rsidRDefault="001A396C">
      <w:pPr>
        <w:pStyle w:val="FootnoteText"/>
      </w:pPr>
      <w:r>
        <w:rPr>
          <w:rStyle w:val="FootnoteReference"/>
        </w:rPr>
        <w:footnoteRef/>
      </w:r>
      <w:r>
        <w:t xml:space="preserve"> 45 C.F.R. § 164.524(c</w:t>
      </w:r>
      <w:proofErr w:type="gramStart"/>
      <w:r>
        <w:t>)(</w:t>
      </w:r>
      <w:proofErr w:type="gramEnd"/>
      <w:r>
        <w:t>4)(iii).</w:t>
      </w:r>
    </w:p>
  </w:footnote>
  <w:footnote w:id="98">
    <w:p w:rsidR="001A396C" w:rsidRDefault="001A396C">
      <w:pPr>
        <w:pStyle w:val="FootnoteText"/>
      </w:pPr>
      <w:r>
        <w:rPr>
          <w:rStyle w:val="FootnoteReference"/>
        </w:rPr>
        <w:footnoteRef/>
      </w:r>
      <w:r>
        <w:t xml:space="preserve"> WAC 246-08-400(2</w:t>
      </w:r>
      <w:proofErr w:type="gramStart"/>
      <w:r>
        <w:t>)(</w:t>
      </w:r>
      <w:proofErr w:type="gramEnd"/>
      <w:r>
        <w:t>b).</w:t>
      </w:r>
    </w:p>
  </w:footnote>
  <w:footnote w:id="99">
    <w:p w:rsidR="001A396C" w:rsidRDefault="001A396C">
      <w:pPr>
        <w:pStyle w:val="FootnoteText"/>
      </w:pPr>
      <w:r>
        <w:rPr>
          <w:rStyle w:val="FootnoteReference"/>
        </w:rPr>
        <w:footnoteRef/>
      </w:r>
      <w:r>
        <w:t xml:space="preserve"> </w:t>
      </w:r>
      <w:proofErr w:type="gramStart"/>
      <w:r>
        <w:t>45 C.F.R. § 164.526(a); RCW 70.02.100(1).</w:t>
      </w:r>
      <w:proofErr w:type="gramEnd"/>
    </w:p>
  </w:footnote>
  <w:footnote w:id="100">
    <w:p w:rsidR="001A396C" w:rsidRDefault="001A396C">
      <w:pPr>
        <w:pStyle w:val="FootnoteText"/>
      </w:pPr>
      <w:r>
        <w:rPr>
          <w:rStyle w:val="FootnoteReference"/>
        </w:rPr>
        <w:footnoteRef/>
      </w:r>
      <w:r>
        <w:t xml:space="preserve"> </w:t>
      </w:r>
      <w:proofErr w:type="gramStart"/>
      <w:r>
        <w:t>RCW 70.02.100(2).</w:t>
      </w:r>
      <w:proofErr w:type="gramEnd"/>
    </w:p>
  </w:footnote>
  <w:footnote w:id="101">
    <w:p w:rsidR="001A396C" w:rsidRDefault="001A396C">
      <w:pPr>
        <w:pStyle w:val="FootnoteText"/>
      </w:pPr>
      <w:r>
        <w:rPr>
          <w:rStyle w:val="FootnoteReference"/>
        </w:rPr>
        <w:footnoteRef/>
      </w:r>
      <w:r>
        <w:t xml:space="preserve"> 45 C.F.R. § 164.526(b</w:t>
      </w:r>
      <w:proofErr w:type="gramStart"/>
      <w:r>
        <w:t>)(</w:t>
      </w:r>
      <w:proofErr w:type="gramEnd"/>
      <w:r>
        <w:t>2).</w:t>
      </w:r>
    </w:p>
  </w:footnote>
  <w:footnote w:id="102">
    <w:p w:rsidR="001A396C" w:rsidRDefault="001A396C">
      <w:pPr>
        <w:pStyle w:val="FootnoteText"/>
      </w:pPr>
      <w:r>
        <w:rPr>
          <w:rStyle w:val="FootnoteReference"/>
        </w:rPr>
        <w:footnoteRef/>
      </w:r>
      <w:r>
        <w:t xml:space="preserve"> 45 C.F.R. § 164.526(b</w:t>
      </w:r>
      <w:proofErr w:type="gramStart"/>
      <w:r>
        <w:t>)(</w:t>
      </w:r>
      <w:proofErr w:type="gramEnd"/>
      <w:r>
        <w:t>1).</w:t>
      </w:r>
    </w:p>
  </w:footnote>
  <w:footnote w:id="103">
    <w:p w:rsidR="001A396C" w:rsidRDefault="001A396C">
      <w:pPr>
        <w:pStyle w:val="FootnoteText"/>
      </w:pPr>
      <w:r>
        <w:rPr>
          <w:rStyle w:val="FootnoteReference"/>
        </w:rPr>
        <w:footnoteRef/>
      </w:r>
      <w:r>
        <w:t xml:space="preserve"> </w:t>
      </w:r>
      <w:proofErr w:type="gramStart"/>
      <w:r>
        <w:t>45 C.F.R. § 164.526(c); RCW 70.02.110(1).</w:t>
      </w:r>
      <w:proofErr w:type="gramEnd"/>
    </w:p>
  </w:footnote>
  <w:footnote w:id="104">
    <w:p w:rsidR="001A396C" w:rsidRDefault="001A396C">
      <w:pPr>
        <w:pStyle w:val="FootnoteText"/>
      </w:pPr>
      <w:r>
        <w:rPr>
          <w:rStyle w:val="FootnoteReference"/>
        </w:rPr>
        <w:footnoteRef/>
      </w:r>
      <w:r>
        <w:t xml:space="preserve"> </w:t>
      </w:r>
      <w:proofErr w:type="gramStart"/>
      <w:r>
        <w:t>45 C.F.R. § 164.526(d); RCW 70.02.110(2).</w:t>
      </w:r>
      <w:proofErr w:type="gramEnd"/>
    </w:p>
  </w:footnote>
  <w:footnote w:id="105">
    <w:p w:rsidR="001A396C" w:rsidRDefault="001A396C">
      <w:pPr>
        <w:pStyle w:val="FootnoteText"/>
      </w:pPr>
      <w:r>
        <w:rPr>
          <w:rStyle w:val="FootnoteReference"/>
        </w:rPr>
        <w:footnoteRef/>
      </w:r>
      <w:r>
        <w:t xml:space="preserve"> </w:t>
      </w:r>
      <w:proofErr w:type="gramStart"/>
      <w:r>
        <w:t>RCW 70.02.110(3).</w:t>
      </w:r>
      <w:proofErr w:type="gramEnd"/>
    </w:p>
  </w:footnote>
  <w:footnote w:id="106">
    <w:p w:rsidR="001A396C" w:rsidRDefault="001A396C">
      <w:pPr>
        <w:pStyle w:val="FootnoteText"/>
      </w:pPr>
      <w:r>
        <w:rPr>
          <w:rStyle w:val="FootnoteReference"/>
        </w:rPr>
        <w:footnoteRef/>
      </w:r>
      <w:r>
        <w:t xml:space="preserve"> 45 C.F.R. § 164.526(c</w:t>
      </w:r>
      <w:proofErr w:type="gramStart"/>
      <w:r>
        <w:t>)(</w:t>
      </w:r>
      <w:proofErr w:type="gramEnd"/>
      <w:r>
        <w:t>3).</w:t>
      </w:r>
    </w:p>
  </w:footnote>
  <w:footnote w:id="107">
    <w:p w:rsidR="001A396C" w:rsidRDefault="001A396C">
      <w:pPr>
        <w:pStyle w:val="FootnoteText"/>
      </w:pPr>
      <w:r>
        <w:rPr>
          <w:rStyle w:val="FootnoteReference"/>
        </w:rPr>
        <w:footnoteRef/>
      </w:r>
      <w:r>
        <w:t xml:space="preserve"> </w:t>
      </w:r>
      <w:proofErr w:type="gramStart"/>
      <w:r>
        <w:t>RCW 70.02.060(1).</w:t>
      </w:r>
      <w:proofErr w:type="gramEnd"/>
    </w:p>
  </w:footnote>
  <w:footnote w:id="108">
    <w:p w:rsidR="001A396C" w:rsidRPr="008F66D1" w:rsidRDefault="001A396C">
      <w:pPr>
        <w:pStyle w:val="FootnoteText"/>
      </w:pPr>
      <w:r>
        <w:rPr>
          <w:rStyle w:val="FootnoteReference"/>
        </w:rPr>
        <w:footnoteRef/>
      </w:r>
      <w:r>
        <w:t xml:space="preserve"> </w:t>
      </w:r>
      <w:r>
        <w:rPr>
          <w:i/>
        </w:rPr>
        <w:t>Id</w:t>
      </w:r>
      <w:r>
        <w:t>.</w:t>
      </w:r>
    </w:p>
  </w:footnote>
  <w:footnote w:id="109">
    <w:p w:rsidR="001A396C" w:rsidRDefault="001A396C">
      <w:pPr>
        <w:pStyle w:val="FootnoteText"/>
      </w:pPr>
      <w:r>
        <w:rPr>
          <w:rStyle w:val="FootnoteReference"/>
        </w:rPr>
        <w:footnoteRef/>
      </w:r>
      <w:r>
        <w:t xml:space="preserve"> </w:t>
      </w:r>
      <w:proofErr w:type="gramStart"/>
      <w:r>
        <w:t>RCW 70.02.060(2).</w:t>
      </w:r>
      <w:proofErr w:type="gramEnd"/>
    </w:p>
  </w:footnote>
  <w:footnote w:id="110">
    <w:p w:rsidR="001A396C" w:rsidRPr="008F66D1" w:rsidRDefault="001A396C">
      <w:pPr>
        <w:pStyle w:val="FootnoteText"/>
      </w:pPr>
      <w:r>
        <w:rPr>
          <w:rStyle w:val="FootnoteReference"/>
        </w:rPr>
        <w:footnoteRef/>
      </w:r>
      <w:r>
        <w:t xml:space="preserve"> </w:t>
      </w:r>
      <w:r>
        <w:rPr>
          <w:i/>
        </w:rPr>
        <w:t>Id</w:t>
      </w:r>
      <w:r>
        <w:t>.</w:t>
      </w:r>
    </w:p>
  </w:footnote>
  <w:footnote w:id="111">
    <w:p w:rsidR="001A396C" w:rsidRPr="008F66D1" w:rsidRDefault="001A396C">
      <w:pPr>
        <w:pStyle w:val="FootnoteText"/>
      </w:pPr>
      <w:r>
        <w:rPr>
          <w:rStyle w:val="FootnoteReference"/>
        </w:rPr>
        <w:footnoteRef/>
      </w:r>
      <w:r>
        <w:t xml:space="preserve"> </w:t>
      </w:r>
      <w:r>
        <w:rPr>
          <w:i/>
        </w:rPr>
        <w:t>Id</w:t>
      </w:r>
      <w:r>
        <w:t>.</w:t>
      </w:r>
    </w:p>
  </w:footnote>
  <w:footnote w:id="112">
    <w:p w:rsidR="001A396C" w:rsidRDefault="001A396C">
      <w:pPr>
        <w:pStyle w:val="FootnoteText"/>
      </w:pPr>
      <w:r>
        <w:rPr>
          <w:rStyle w:val="FootnoteReference"/>
        </w:rPr>
        <w:footnoteRef/>
      </w:r>
      <w:r>
        <w:t xml:space="preserve"> </w:t>
      </w:r>
      <w:proofErr w:type="gramStart"/>
      <w:r>
        <w:t>45 C.F.R. § 164.512(e).</w:t>
      </w:r>
      <w:proofErr w:type="gramEnd"/>
    </w:p>
  </w:footnote>
  <w:footnote w:id="113">
    <w:p w:rsidR="001A396C" w:rsidRDefault="001A396C">
      <w:pPr>
        <w:pStyle w:val="FootnoteText"/>
      </w:pPr>
      <w:r>
        <w:rPr>
          <w:rStyle w:val="FootnoteReference"/>
        </w:rPr>
        <w:footnoteRef/>
      </w:r>
      <w:r>
        <w:t xml:space="preserve"> RCW 70.02.070; RCW 36.18.016</w:t>
      </w:r>
    </w:p>
  </w:footnote>
  <w:footnote w:id="114">
    <w:p w:rsidR="001A396C" w:rsidRDefault="001A396C">
      <w:pPr>
        <w:pStyle w:val="FootnoteText"/>
      </w:pPr>
      <w:r>
        <w:rPr>
          <w:rStyle w:val="FootnoteReference"/>
        </w:rPr>
        <w:footnoteRef/>
      </w:r>
      <w:r>
        <w:t xml:space="preserve"> </w:t>
      </w:r>
      <w:proofErr w:type="gramStart"/>
      <w:r>
        <w:t>RCW 70.02.070.</w:t>
      </w:r>
      <w:proofErr w:type="gramEnd"/>
    </w:p>
  </w:footnote>
  <w:footnote w:id="115">
    <w:p w:rsidR="001A396C" w:rsidRDefault="001A396C">
      <w:pPr>
        <w:pStyle w:val="FootnoteText"/>
      </w:pPr>
      <w:r>
        <w:rPr>
          <w:rStyle w:val="FootnoteReference"/>
        </w:rPr>
        <w:footnoteRef/>
      </w:r>
      <w:r>
        <w:t xml:space="preserve"> </w:t>
      </w:r>
      <w:proofErr w:type="gramStart"/>
      <w:r>
        <w:t>RCW 70.02.060(2).</w:t>
      </w:r>
      <w:proofErr w:type="gramEnd"/>
    </w:p>
  </w:footnote>
  <w:footnote w:id="116">
    <w:p w:rsidR="001A396C" w:rsidRDefault="001A396C">
      <w:pPr>
        <w:pStyle w:val="FootnoteText"/>
      </w:pPr>
      <w:r>
        <w:rPr>
          <w:rStyle w:val="FootnoteReference"/>
        </w:rPr>
        <w:footnoteRef/>
      </w:r>
      <w:r>
        <w:t xml:space="preserve"> </w:t>
      </w:r>
      <w:proofErr w:type="gramStart"/>
      <w:r>
        <w:t>RCW 51.36.060.</w:t>
      </w:r>
      <w:proofErr w:type="gramEnd"/>
    </w:p>
  </w:footnote>
  <w:footnote w:id="117">
    <w:p w:rsidR="001A396C" w:rsidRDefault="001A396C">
      <w:pPr>
        <w:pStyle w:val="FootnoteText"/>
      </w:pPr>
      <w:r>
        <w:rPr>
          <w:rStyle w:val="FootnoteReference"/>
        </w:rPr>
        <w:footnoteRef/>
      </w:r>
      <w:r>
        <w:t xml:space="preserve"> 45 C.F.R. § 164.502(e</w:t>
      </w:r>
      <w:proofErr w:type="gramStart"/>
      <w:r>
        <w:t>)(</w:t>
      </w:r>
      <w:proofErr w:type="gramEnd"/>
      <w:r>
        <w:t>1).</w:t>
      </w:r>
    </w:p>
  </w:footnote>
  <w:footnote w:id="118">
    <w:p w:rsidR="001A396C" w:rsidRDefault="001A396C">
      <w:pPr>
        <w:pStyle w:val="FootnoteText"/>
      </w:pPr>
      <w:r>
        <w:rPr>
          <w:rStyle w:val="FootnoteReference"/>
        </w:rPr>
        <w:footnoteRef/>
      </w:r>
      <w:r>
        <w:t xml:space="preserve"> </w:t>
      </w:r>
      <w:proofErr w:type="gramStart"/>
      <w:r>
        <w:t>45 C.F.R. § 164.504(e).</w:t>
      </w:r>
      <w:proofErr w:type="gramEnd"/>
    </w:p>
  </w:footnote>
  <w:footnote w:id="119">
    <w:p w:rsidR="001A396C" w:rsidRDefault="001A396C">
      <w:pPr>
        <w:pStyle w:val="FootnoteText"/>
      </w:pPr>
      <w:r>
        <w:rPr>
          <w:rStyle w:val="FootnoteReference"/>
        </w:rPr>
        <w:footnoteRef/>
      </w:r>
      <w:r>
        <w:t xml:space="preserve"> 45 C.F.R. § 164.502(e</w:t>
      </w:r>
      <w:proofErr w:type="gramStart"/>
      <w:r>
        <w:t>)(</w:t>
      </w:r>
      <w:proofErr w:type="gramEnd"/>
      <w:r>
        <w:t>2).</w:t>
      </w:r>
    </w:p>
  </w:footnote>
  <w:footnote w:id="120">
    <w:p w:rsidR="001A396C" w:rsidRDefault="001A396C">
      <w:pPr>
        <w:pStyle w:val="FootnoteText"/>
      </w:pPr>
      <w:r>
        <w:rPr>
          <w:rStyle w:val="FootnoteReference"/>
        </w:rPr>
        <w:footnoteRef/>
      </w:r>
      <w:r>
        <w:t xml:space="preserve"> 45 C.F.R. § 164.502(e</w:t>
      </w:r>
      <w:proofErr w:type="gramStart"/>
      <w:r>
        <w:t>)(</w:t>
      </w:r>
      <w:proofErr w:type="gramEnd"/>
      <w:r>
        <w:t>2).</w:t>
      </w:r>
    </w:p>
  </w:footnote>
  <w:footnote w:id="121">
    <w:p w:rsidR="001A396C" w:rsidRDefault="001A396C" w:rsidP="00B85B97">
      <w:pPr>
        <w:pStyle w:val="FootnoteText"/>
      </w:pPr>
      <w:r>
        <w:rPr>
          <w:rStyle w:val="FootnoteReference"/>
        </w:rPr>
        <w:footnoteRef/>
      </w:r>
      <w:r>
        <w:t xml:space="preserve"> </w:t>
      </w:r>
      <w:proofErr w:type="gramStart"/>
      <w:r>
        <w:t>45 C.F.R. § 164.104(b).</w:t>
      </w:r>
      <w:proofErr w:type="gramEnd"/>
    </w:p>
  </w:footnote>
  <w:footnote w:id="122">
    <w:p w:rsidR="001A396C" w:rsidRPr="00B85B97" w:rsidRDefault="001A396C"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1A396C" w:rsidRPr="00B85B97" w:rsidRDefault="001A396C">
      <w:pPr>
        <w:pStyle w:val="FootnoteText"/>
        <w:rPr>
          <w:i/>
        </w:rPr>
      </w:pPr>
      <w:r w:rsidRPr="00B85B97">
        <w:rPr>
          <w:rStyle w:val="FootnoteReference"/>
        </w:rPr>
        <w:footnoteRef/>
      </w:r>
      <w:r w:rsidRPr="00B85B97">
        <w:t xml:space="preserve"> </w:t>
      </w:r>
      <w:r w:rsidRPr="00B85B97">
        <w:rPr>
          <w:i/>
        </w:rPr>
        <w:t>Id.</w:t>
      </w:r>
    </w:p>
  </w:footnote>
  <w:footnote w:id="124">
    <w:p w:rsidR="001A396C" w:rsidRPr="00B85B97" w:rsidRDefault="001A396C">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1A396C" w:rsidRDefault="001A396C">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1A396C" w:rsidRDefault="001A396C">
      <w:pPr>
        <w:pStyle w:val="FootnoteText"/>
      </w:pPr>
      <w:r>
        <w:rPr>
          <w:rStyle w:val="FootnoteReference"/>
        </w:rPr>
        <w:footnoteRef/>
      </w:r>
      <w:r>
        <w:t xml:space="preserve"> 45 C.F.R. § 164.520(c</w:t>
      </w:r>
      <w:proofErr w:type="gramStart"/>
      <w:r>
        <w:t>)(</w:t>
      </w:r>
      <w:proofErr w:type="gramEnd"/>
      <w:r>
        <w:t>2).</w:t>
      </w:r>
    </w:p>
  </w:footnote>
  <w:footnote w:id="127">
    <w:p w:rsidR="001A396C" w:rsidRDefault="001A396C">
      <w:pPr>
        <w:pStyle w:val="FootnoteText"/>
      </w:pPr>
      <w:r>
        <w:rPr>
          <w:rStyle w:val="FootnoteReference"/>
        </w:rPr>
        <w:footnoteRef/>
      </w:r>
      <w:r>
        <w:t xml:space="preserve"> 45 C.F.R. § 164.520(c</w:t>
      </w:r>
      <w:proofErr w:type="gramStart"/>
      <w:r>
        <w:t>)(</w:t>
      </w:r>
      <w:proofErr w:type="gramEnd"/>
      <w:r>
        <w:t>2)(iii).</w:t>
      </w:r>
    </w:p>
  </w:footnote>
  <w:footnote w:id="128">
    <w:p w:rsidR="001A396C" w:rsidRDefault="001A396C">
      <w:pPr>
        <w:pStyle w:val="FootnoteText"/>
      </w:pPr>
      <w:r>
        <w:rPr>
          <w:rStyle w:val="FootnoteReference"/>
        </w:rPr>
        <w:footnoteRef/>
      </w:r>
      <w:r>
        <w:t xml:space="preserve"> 45 C.F.R. § 164.520(c</w:t>
      </w:r>
      <w:proofErr w:type="gramStart"/>
      <w:r>
        <w:t>)(</w:t>
      </w:r>
      <w:proofErr w:type="gramEnd"/>
      <w:r>
        <w:t>2)(iv).</w:t>
      </w:r>
    </w:p>
  </w:footnote>
  <w:footnote w:id="129">
    <w:p w:rsidR="001A396C" w:rsidRPr="00561311" w:rsidRDefault="001A396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1A396C" w:rsidRDefault="001A396C"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r>
        <w:rPr>
          <w:snapToGrid/>
          <w:szCs w:val="24"/>
        </w:rPr>
        <w:t xml:space="preserve">; 45 C.F.R. </w:t>
      </w:r>
      <w:r w:rsidRPr="006E34D2">
        <w:rPr>
          <w:snapToGrid/>
          <w:szCs w:val="24"/>
        </w:rPr>
        <w:t>§164.520</w:t>
      </w:r>
      <w:r>
        <w:rPr>
          <w:snapToGrid/>
          <w:szCs w:val="24"/>
        </w:rPr>
        <w:t>(b</w:t>
      </w:r>
      <w:proofErr w:type="gramStart"/>
      <w:r>
        <w:rPr>
          <w:snapToGrid/>
          <w:szCs w:val="24"/>
        </w:rPr>
        <w:t>)(</w:t>
      </w:r>
      <w:proofErr w:type="gramEnd"/>
      <w:r>
        <w:rPr>
          <w:snapToGrid/>
          <w:szCs w:val="24"/>
        </w:rPr>
        <w:t xml:space="preserve">iii)(A). </w:t>
      </w:r>
    </w:p>
  </w:footnote>
  <w:footnote w:id="131">
    <w:p w:rsidR="001A396C" w:rsidRDefault="001A396C">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1A396C" w:rsidRDefault="001A396C" w:rsidP="004246D1">
      <w:pPr>
        <w:pStyle w:val="FootnoteText"/>
      </w:pPr>
      <w:r>
        <w:rPr>
          <w:rStyle w:val="FootnoteReference"/>
        </w:rPr>
        <w:footnoteRef/>
      </w:r>
      <w:r>
        <w:t xml:space="preserve"> 45 C.F.R. §164.520(b</w:t>
      </w:r>
      <w:proofErr w:type="gramStart"/>
      <w:r>
        <w:t>)(</w:t>
      </w:r>
      <w:proofErr w:type="gramEnd"/>
      <w:r>
        <w:t>iv).</w:t>
      </w:r>
    </w:p>
  </w:footnote>
  <w:footnote w:id="133">
    <w:p w:rsidR="001A396C" w:rsidRPr="008357A4" w:rsidRDefault="001A396C">
      <w:pPr>
        <w:pStyle w:val="FootnoteText"/>
        <w:rPr>
          <w:i/>
        </w:rPr>
      </w:pPr>
      <w:r>
        <w:rPr>
          <w:rStyle w:val="FootnoteReference"/>
        </w:rPr>
        <w:footnoteRef/>
      </w:r>
      <w:r>
        <w:t xml:space="preserve"> </w:t>
      </w:r>
      <w:r>
        <w:rPr>
          <w:i/>
          <w:snapToGrid/>
        </w:rPr>
        <w:t>Id.</w:t>
      </w:r>
    </w:p>
  </w:footnote>
  <w:footnote w:id="134">
    <w:p w:rsidR="001A396C" w:rsidRPr="00EA498E" w:rsidRDefault="001A396C">
      <w:pPr>
        <w:pStyle w:val="FootnoteText"/>
      </w:pPr>
      <w:r>
        <w:rPr>
          <w:rStyle w:val="FootnoteReference"/>
        </w:rPr>
        <w:footnoteRef/>
      </w:r>
      <w:r>
        <w:t xml:space="preserve"> </w:t>
      </w:r>
      <w:r>
        <w:rPr>
          <w:i/>
        </w:rPr>
        <w:t>Id.</w:t>
      </w:r>
    </w:p>
  </w:footnote>
  <w:footnote w:id="135">
    <w:p w:rsidR="001A396C" w:rsidRDefault="001A396C">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1A396C" w:rsidRDefault="001A396C">
      <w:pPr>
        <w:pStyle w:val="FootnoteText"/>
      </w:pPr>
      <w:r>
        <w:rPr>
          <w:rStyle w:val="FootnoteReference"/>
        </w:rPr>
        <w:footnoteRef/>
      </w:r>
      <w:r>
        <w:t xml:space="preserve"> 45 C.F.R. § 164.514(f</w:t>
      </w:r>
      <w:proofErr w:type="gramStart"/>
      <w:r>
        <w:t>)(</w:t>
      </w:r>
      <w:proofErr w:type="gramEnd"/>
      <w:r>
        <w:t xml:space="preserve">1). </w:t>
      </w:r>
    </w:p>
  </w:footnote>
  <w:footnote w:id="137">
    <w:p w:rsidR="001A396C" w:rsidRDefault="001A396C">
      <w:pPr>
        <w:pStyle w:val="FootnoteText"/>
      </w:pPr>
      <w:r>
        <w:rPr>
          <w:rStyle w:val="FootnoteReference"/>
        </w:rPr>
        <w:footnoteRef/>
      </w:r>
      <w:r>
        <w:t xml:space="preserve"> </w:t>
      </w:r>
      <w:r w:rsidRPr="006E34D2">
        <w:t>45 C.F.R. §164.520 (b</w:t>
      </w:r>
      <w:proofErr w:type="gramStart"/>
      <w:r w:rsidRPr="006E34D2">
        <w:t>)(</w:t>
      </w:r>
      <w:proofErr w:type="gramEnd"/>
      <w:r w:rsidRPr="006E34D2">
        <w:t>iii)(A).</w:t>
      </w:r>
    </w:p>
  </w:footnote>
  <w:footnote w:id="138">
    <w:p w:rsidR="001A396C" w:rsidRDefault="001A396C" w:rsidP="00E97220">
      <w:pPr>
        <w:pStyle w:val="FootnoteText"/>
      </w:pPr>
      <w:r>
        <w:rPr>
          <w:rStyle w:val="FootnoteReference"/>
        </w:rPr>
        <w:footnoteRef/>
      </w:r>
      <w:r>
        <w:t xml:space="preserve"> 45 C.F.R. § 164.508(a</w:t>
      </w:r>
      <w:proofErr w:type="gramStart"/>
      <w:r>
        <w:t>)(</w:t>
      </w:r>
      <w:proofErr w:type="gramEnd"/>
      <w:r>
        <w:t>2).</w:t>
      </w:r>
    </w:p>
  </w:footnote>
  <w:footnote w:id="139">
    <w:p w:rsidR="001A396C" w:rsidRDefault="001A396C" w:rsidP="00E97220">
      <w:pPr>
        <w:pStyle w:val="FootnoteText"/>
      </w:pPr>
      <w:r>
        <w:rPr>
          <w:rStyle w:val="FootnoteReference"/>
        </w:rPr>
        <w:footnoteRef/>
      </w:r>
      <w:r>
        <w:t xml:space="preserve"> 45 C.R.R. § 164.508(a</w:t>
      </w:r>
      <w:proofErr w:type="gramStart"/>
      <w:r>
        <w:t>)(</w:t>
      </w:r>
      <w:proofErr w:type="gramEnd"/>
      <w:r>
        <w:t>3).</w:t>
      </w:r>
    </w:p>
  </w:footnote>
  <w:footnote w:id="140">
    <w:p w:rsidR="001A396C" w:rsidRDefault="001A396C" w:rsidP="00E97220">
      <w:pPr>
        <w:pStyle w:val="FootnoteText"/>
      </w:pPr>
      <w:r>
        <w:rPr>
          <w:rStyle w:val="FootnoteReference"/>
        </w:rPr>
        <w:footnoteRef/>
      </w:r>
      <w:r>
        <w:t xml:space="preserve"> </w:t>
      </w:r>
      <w:r w:rsidRPr="00E97220">
        <w:t>45 C.R.R. § 164.508(a</w:t>
      </w:r>
      <w:proofErr w:type="gramStart"/>
      <w:r w:rsidRPr="00E97220">
        <w:t>)</w:t>
      </w:r>
      <w:r>
        <w:t>(</w:t>
      </w:r>
      <w:proofErr w:type="gramEnd"/>
      <w:r>
        <w:t>4</w:t>
      </w:r>
      <w:r w:rsidRPr="00E97220">
        <w:t>)</w:t>
      </w:r>
      <w:r>
        <w:t>.</w:t>
      </w:r>
    </w:p>
  </w:footnote>
  <w:footnote w:id="141">
    <w:p w:rsidR="001A396C" w:rsidRDefault="001A396C">
      <w:pPr>
        <w:pStyle w:val="FootnoteText"/>
      </w:pPr>
      <w:r>
        <w:rPr>
          <w:rStyle w:val="FootnoteReference"/>
        </w:rPr>
        <w:footnoteRef/>
      </w:r>
      <w:r>
        <w:t xml:space="preserve"> </w:t>
      </w:r>
      <w:proofErr w:type="gramStart"/>
      <w:r>
        <w:t>RCW 70.02.170(1).</w:t>
      </w:r>
      <w:proofErr w:type="gramEnd"/>
    </w:p>
  </w:footnote>
  <w:footnote w:id="142">
    <w:p w:rsidR="001A396C" w:rsidRDefault="001A396C">
      <w:pPr>
        <w:pStyle w:val="FootnoteText"/>
      </w:pPr>
      <w:r>
        <w:rPr>
          <w:rStyle w:val="FootnoteReference"/>
        </w:rPr>
        <w:footnoteRef/>
      </w:r>
      <w:r>
        <w:t xml:space="preserve"> </w:t>
      </w:r>
      <w:proofErr w:type="gramStart"/>
      <w:r>
        <w:t>RCW 70.02.170(2).</w:t>
      </w:r>
      <w:proofErr w:type="gramEnd"/>
    </w:p>
  </w:footnote>
  <w:footnote w:id="143">
    <w:p w:rsidR="001A396C" w:rsidRPr="009C1BD2" w:rsidRDefault="001A396C">
      <w:pPr>
        <w:pStyle w:val="FootnoteText"/>
      </w:pPr>
      <w:r>
        <w:rPr>
          <w:rStyle w:val="FootnoteReference"/>
        </w:rPr>
        <w:footnoteRef/>
      </w:r>
      <w:r>
        <w:t xml:space="preserve"> </w:t>
      </w:r>
      <w:r>
        <w:rPr>
          <w:i/>
        </w:rPr>
        <w:t>Id</w:t>
      </w:r>
      <w:r>
        <w:t>.</w:t>
      </w:r>
    </w:p>
  </w:footnote>
  <w:footnote w:id="144">
    <w:p w:rsidR="001A396C" w:rsidRPr="009C1BD2" w:rsidRDefault="001A396C">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1A396C" w:rsidRPr="009C1BD2" w:rsidRDefault="001A396C">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1A396C" w:rsidRPr="00665DFD" w:rsidRDefault="001A396C">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1A396C" w:rsidRPr="00665DFD"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ins w:id="4" w:author="Tierney Edwards" w:date="2013-11-13T12:26:00Z">
        <w:r w:rsidR="000B2957" w:rsidRPr="000B2957">
          <w:rPr>
            <w:color w:val="000000" w:themeColor="text1"/>
          </w:rPr>
          <w:t>HITECH Act § 1310(d), codified at 42 U.S.C. § 1176(a).</w:t>
        </w:r>
        <w:proofErr w:type="gramEnd"/>
        <w:r w:rsidR="000B2957" w:rsidRPr="000B2957">
          <w:rPr>
            <w:color w:val="000000" w:themeColor="text1"/>
          </w:rPr>
          <w:t xml:space="preserve"> See also 45 C.F.R. §§ 160.404, 160.406, 160.408.  </w:t>
        </w:r>
      </w:ins>
    </w:p>
  </w:footnote>
  <w:footnote w:id="148">
    <w:p w:rsidR="001A396C" w:rsidRPr="00665DFD" w:rsidRDefault="001A396C"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ins w:id="5" w:author="Tierney Edwards" w:date="2013-11-13T12:26:00Z">
        <w:r w:rsidR="000B2957" w:rsidRPr="000B2957">
          <w:rPr>
            <w:color w:val="000000" w:themeColor="text1"/>
          </w:rPr>
          <w:t>HITECH Act §§13410(d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ins>
    </w:p>
  </w:footnote>
  <w:footnote w:id="149">
    <w:p w:rsidR="001A396C" w:rsidRPr="000B2957" w:rsidRDefault="001A396C" w:rsidP="00E97220">
      <w:pPr>
        <w:pStyle w:val="FootnoteText"/>
        <w:jc w:val="left"/>
        <w:rPr>
          <w:color w:val="000000" w:themeColor="text1"/>
        </w:rPr>
      </w:pPr>
      <w:r w:rsidRPr="00790EE4">
        <w:rPr>
          <w:rStyle w:val="FootnoteReference"/>
          <w:color w:val="000000" w:themeColor="text1"/>
        </w:rPr>
        <w:footnoteRef/>
      </w:r>
      <w:r w:rsidRPr="00790EE4">
        <w:rPr>
          <w:rStyle w:val="st1"/>
          <w:color w:val="000000" w:themeColor="text1"/>
        </w:rPr>
        <w:t xml:space="preserve"> </w:t>
      </w:r>
      <w:ins w:id="6" w:author="Tierney Edwards" w:date="2013-11-13T12:26:00Z">
        <w:r w:rsidR="000B2957" w:rsidRPr="000B2957">
          <w:rPr>
            <w:color w:val="000000" w:themeColor="text1"/>
          </w:rPr>
          <w:t>HITECH Act §§ 13410 (d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ins>
    </w:p>
  </w:footnote>
  <w:footnote w:id="150">
    <w:p w:rsidR="001A396C" w:rsidRPr="009C1BD2" w:rsidRDefault="001A396C" w:rsidP="00E97220">
      <w:pPr>
        <w:pStyle w:val="FootnoteText"/>
        <w:jc w:val="left"/>
      </w:pPr>
      <w:r w:rsidRPr="009C1BD2">
        <w:rPr>
          <w:rStyle w:val="FootnoteReference"/>
        </w:rPr>
        <w:footnoteRef/>
      </w:r>
      <w:r w:rsidRPr="009C1BD2">
        <w:t xml:space="preserve"> </w:t>
      </w:r>
      <w:r w:rsidRPr="00790EE4">
        <w:t>HITECH Act §</w:t>
      </w:r>
      <w:r w:rsidRPr="00797B4D">
        <w:t>§</w:t>
      </w:r>
      <w:r w:rsidRPr="00790EE4">
        <w:t xml:space="preserve"> 13410(d</w:t>
      </w:r>
      <w:proofErr w:type="gramStart"/>
      <w:r w:rsidRPr="00790EE4">
        <w:t>)(</w:t>
      </w:r>
      <w:proofErr w:type="gramEnd"/>
      <w:r w:rsidRPr="00790EE4">
        <w:t>4)</w:t>
      </w:r>
      <w:r>
        <w:t xml:space="preserve">; codified at </w:t>
      </w:r>
      <w:r w:rsidRPr="002F7FC8">
        <w:t xml:space="preserve">42 U.S.C. § </w:t>
      </w:r>
      <w:r w:rsidR="000B2957" w:rsidRPr="000B2957">
        <w:t>1176(b)</w:t>
      </w:r>
      <w:r w:rsidRPr="00790EE4">
        <w:t>.</w:t>
      </w:r>
    </w:p>
  </w:footnote>
  <w:footnote w:id="151">
    <w:p w:rsidR="001A396C" w:rsidRPr="009C1BD2" w:rsidRDefault="001A396C" w:rsidP="00E97220">
      <w:pPr>
        <w:pStyle w:val="FootnoteText"/>
        <w:jc w:val="left"/>
      </w:pPr>
      <w:r w:rsidRPr="009C1BD2">
        <w:rPr>
          <w:rStyle w:val="FootnoteReference"/>
        </w:rPr>
        <w:footnoteRef/>
      </w:r>
      <w:r w:rsidRPr="009C1BD2">
        <w:t xml:space="preserve"> </w:t>
      </w:r>
      <w:r w:rsidR="000B2957" w:rsidRPr="000B2957">
        <w:rPr>
          <w:i/>
        </w:rPr>
        <w:t>Id. See also</w:t>
      </w:r>
      <w:r w:rsidR="000B2957" w:rsidRPr="000B2957">
        <w:t xml:space="preserve"> 45 C.F.R. § 160.410(b</w:t>
      </w:r>
      <w:proofErr w:type="gramStart"/>
      <w:r w:rsidR="000B2957" w:rsidRPr="000B2957">
        <w:t>)(</w:t>
      </w:r>
      <w:proofErr w:type="gramEnd"/>
      <w:r w:rsidR="000B2957" w:rsidRPr="000B2957">
        <w:t>2).</w:t>
      </w:r>
    </w:p>
  </w:footnote>
  <w:footnote w:id="152">
    <w:p w:rsidR="001A396C" w:rsidRPr="009C1BD2" w:rsidRDefault="001A396C"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1A396C" w:rsidRPr="009C1BD2" w:rsidRDefault="001A396C"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1A396C" w:rsidRDefault="001A396C"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1A396C" w:rsidRDefault="001A396C" w:rsidP="00E97220">
      <w:pPr>
        <w:pStyle w:val="FootnoteText"/>
        <w:jc w:val="left"/>
      </w:pPr>
      <w:r>
        <w:rPr>
          <w:rStyle w:val="FootnoteReference"/>
        </w:rPr>
        <w:footnoteRef/>
      </w:r>
      <w:r>
        <w:t xml:space="preserve"> </w:t>
      </w:r>
      <w:proofErr w:type="gramStart"/>
      <w:r>
        <w:t>RCW 70.02.900.</w:t>
      </w:r>
      <w:proofErr w:type="gramEnd"/>
    </w:p>
  </w:footnote>
  <w:footnote w:id="156">
    <w:p w:rsidR="001A396C" w:rsidRDefault="001A396C">
      <w:pPr>
        <w:pStyle w:val="FootnoteText"/>
      </w:pPr>
      <w:r>
        <w:rPr>
          <w:rStyle w:val="FootnoteReference"/>
        </w:rPr>
        <w:footnoteRef/>
      </w:r>
      <w:r>
        <w:t xml:space="preserve"> </w:t>
      </w:r>
      <w:proofErr w:type="gramStart"/>
      <w:r>
        <w:t>RCW 70.02.160.</w:t>
      </w:r>
      <w:proofErr w:type="gramEnd"/>
    </w:p>
  </w:footnote>
  <w:footnote w:id="157">
    <w:p w:rsidR="001A396C" w:rsidRDefault="001A396C">
      <w:pPr>
        <w:pStyle w:val="FootnoteText"/>
      </w:pPr>
      <w:r>
        <w:rPr>
          <w:rStyle w:val="FootnoteReference"/>
        </w:rPr>
        <w:footnoteRef/>
      </w:r>
      <w:r>
        <w:t xml:space="preserve"> </w:t>
      </w:r>
      <w:proofErr w:type="gramStart"/>
      <w:r>
        <w:t>45 C.F.R. § 164.528(a).</w:t>
      </w:r>
      <w:proofErr w:type="gramEnd"/>
    </w:p>
  </w:footnote>
  <w:footnote w:id="158">
    <w:p w:rsidR="001A396C" w:rsidRDefault="001A396C">
      <w:pPr>
        <w:pStyle w:val="FootnoteText"/>
      </w:pPr>
      <w:r>
        <w:rPr>
          <w:rStyle w:val="FootnoteReference"/>
        </w:rPr>
        <w:footnoteRef/>
      </w:r>
      <w:r>
        <w:t xml:space="preserve"> </w:t>
      </w:r>
      <w:proofErr w:type="gramStart"/>
      <w:r>
        <w:t>RCW 70.02.150.</w:t>
      </w:r>
      <w:proofErr w:type="gramEnd"/>
    </w:p>
  </w:footnote>
  <w:footnote w:id="159">
    <w:p w:rsidR="001A396C" w:rsidRDefault="001A396C">
      <w:pPr>
        <w:pStyle w:val="FootnoteText"/>
      </w:pPr>
      <w:r>
        <w:rPr>
          <w:rStyle w:val="FootnoteReference"/>
        </w:rPr>
        <w:footnoteRef/>
      </w:r>
      <w:r>
        <w:t xml:space="preserve"> </w:t>
      </w:r>
      <w:proofErr w:type="gramStart"/>
      <w:r>
        <w:t>45 C.F.R. Part 160, Part 164, Subparts A and C.</w:t>
      </w:r>
      <w:proofErr w:type="gramEnd"/>
    </w:p>
  </w:footnote>
  <w:footnote w:id="160">
    <w:p w:rsidR="001A396C" w:rsidRDefault="001A396C">
      <w:pPr>
        <w:pStyle w:val="FootnoteText"/>
      </w:pPr>
      <w:r>
        <w:rPr>
          <w:rStyle w:val="FootnoteReference"/>
        </w:rPr>
        <w:footnoteRef/>
      </w:r>
      <w:r>
        <w:t xml:space="preserve"> </w:t>
      </w:r>
      <w:proofErr w:type="gramStart"/>
      <w:r>
        <w:t>RCW 70.02.150.</w:t>
      </w:r>
      <w:proofErr w:type="gramEnd"/>
    </w:p>
  </w:footnote>
  <w:footnote w:id="161">
    <w:p w:rsidR="001A396C" w:rsidRPr="002003B8" w:rsidRDefault="001A396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35AD8-EED7-4781-8F1C-59FE1268DCAE}">
  <ds:schemaRefs>
    <ds:schemaRef ds:uri="http://schemas.openxmlformats.org/officeDocument/2006/bibliography"/>
  </ds:schemaRefs>
</ds:datastoreItem>
</file>

<file path=customXml/itemProps2.xml><?xml version="1.0" encoding="utf-8"?>
<ds:datastoreItem xmlns:ds="http://schemas.openxmlformats.org/officeDocument/2006/customXml" ds:itemID="{CEE96FED-D596-408B-8056-197CAE15B59D}"/>
</file>

<file path=customXml/itemProps3.xml><?xml version="1.0" encoding="utf-8"?>
<ds:datastoreItem xmlns:ds="http://schemas.openxmlformats.org/officeDocument/2006/customXml" ds:itemID="{9DABD3A1-B693-4373-9A82-48E524771A28}"/>
</file>

<file path=customXml/itemProps4.xml><?xml version="1.0" encoding="utf-8"?>
<ds:datastoreItem xmlns:ds="http://schemas.openxmlformats.org/officeDocument/2006/customXml" ds:itemID="{33A78C17-BB50-4E42-A7B3-845BD3391831}"/>
</file>

<file path=docProps/app.xml><?xml version="1.0" encoding="utf-8"?>
<Properties xmlns="http://schemas.openxmlformats.org/officeDocument/2006/extended-properties" xmlns:vt="http://schemas.openxmlformats.org/officeDocument/2006/docPropsVTypes">
  <Template>Normal</Template>
  <TotalTime>0</TotalTime>
  <Pages>26</Pages>
  <Words>8094</Words>
  <Characters>46137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2013-11-13T22:41:00Z</dcterms:created>
  <dcterms:modified xsi:type="dcterms:W3CDTF">2013-11-13T22:41:00Z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