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4516" w:rsidRPr="00D417A6" w:rsidRDefault="002F2EED">
      <w:pPr>
        <w:rPr>
          <w:rFonts w:ascii="Times New Roman" w:hAnsi="Times New Roman" w:cs="Times New Roman"/>
          <w:szCs w:val="24"/>
        </w:rPr>
      </w:pPr>
      <w:r w:rsidRPr="00D417A6">
        <w:rPr>
          <w:rFonts w:ascii="Times New Roman" w:hAnsi="Times New Roman" w:cs="Times New Roman"/>
          <w:szCs w:val="24"/>
        </w:rPr>
        <w:t>THINGS TO UPDATE</w:t>
      </w:r>
      <w:r w:rsidR="00B53E54" w:rsidRPr="00D417A6">
        <w:rPr>
          <w:rFonts w:ascii="Times New Roman" w:hAnsi="Times New Roman" w:cs="Times New Roman"/>
          <w:szCs w:val="24"/>
        </w:rPr>
        <w:t xml:space="preserve"> – final rule available at </w:t>
      </w:r>
      <w:hyperlink r:id="rId8" w:anchor="h-290" w:history="1">
        <w:r w:rsidR="00B53E54" w:rsidRPr="00D417A6">
          <w:rPr>
            <w:rStyle w:val="Hyperlink"/>
            <w:rFonts w:ascii="Times New Roman" w:hAnsi="Times New Roman" w:cs="Times New Roman"/>
            <w:szCs w:val="24"/>
          </w:rPr>
          <w:t>https://www.federalregister.gov/articles/2013/01/25/2013-01073/modifications-to-the-hipaa-privacy-security-enforcement-and-breach-notification-rules-under-the#h-290</w:t>
        </w:r>
      </w:hyperlink>
    </w:p>
    <w:p w:rsidR="00B53E54" w:rsidRPr="00D417A6" w:rsidRDefault="00B53E54">
      <w:pPr>
        <w:rPr>
          <w:rFonts w:ascii="Times New Roman" w:hAnsi="Times New Roman" w:cs="Times New Roman"/>
          <w:b/>
          <w:szCs w:val="24"/>
        </w:rPr>
      </w:pPr>
    </w:p>
    <w:p w:rsidR="00E779A2" w:rsidRPr="00D417A6" w:rsidRDefault="00E779A2">
      <w:pPr>
        <w:rPr>
          <w:rFonts w:ascii="Times New Roman" w:hAnsi="Times New Roman" w:cs="Times New Roman"/>
          <w:b/>
          <w:szCs w:val="24"/>
        </w:rPr>
      </w:pPr>
      <w:r w:rsidRPr="00D417A6">
        <w:rPr>
          <w:rFonts w:ascii="Times New Roman" w:hAnsi="Times New Roman" w:cs="Times New Roman"/>
          <w:b/>
          <w:szCs w:val="24"/>
        </w:rPr>
        <w:t>When must a provider abide by a patient’s request to not disclose health information?</w:t>
      </w:r>
    </w:p>
    <w:p w:rsidR="00E779A2" w:rsidRPr="00D417A6" w:rsidRDefault="00E779A2" w:rsidP="00E779A2">
      <w:pPr>
        <w:pStyle w:val="Default"/>
      </w:pPr>
      <w:r w:rsidRPr="00D417A6">
        <w:t>Requires a covered entity to agree to a request to restrict disclosure of protected health information to a health plan if the disclosure is for payment or health care operations and pertains to a health care item or service for which the individual has paid out of pocket in full. This is an exception to the general rule that a covered entity is not required to agree to a request for restrictions on the use or disclosure of protected health information allowed under the Privacy Rule. (</w:t>
      </w:r>
      <w:r w:rsidR="003B4D2F" w:rsidRPr="00D417A6">
        <w:t xml:space="preserve">HIPAA Privacy Rule § </w:t>
      </w:r>
      <w:r w:rsidRPr="00D417A6">
        <w:t>164.522(a</w:t>
      </w:r>
      <w:proofErr w:type="gramStart"/>
      <w:r w:rsidRPr="00D417A6">
        <w:t>)(</w:t>
      </w:r>
      <w:proofErr w:type="gramEnd"/>
      <w:r w:rsidRPr="00D417A6">
        <w:t>1)(vi)(B))</w:t>
      </w:r>
      <w:r w:rsidR="00B70046" w:rsidRPr="00D417A6">
        <w:t xml:space="preserve">. </w:t>
      </w:r>
    </w:p>
    <w:p w:rsidR="00D417A6" w:rsidRPr="00D417A6" w:rsidRDefault="00D417A6" w:rsidP="00E779A2">
      <w:pPr>
        <w:pStyle w:val="Default"/>
      </w:pPr>
    </w:p>
    <w:p w:rsidR="00D417A6" w:rsidRDefault="00D417A6" w:rsidP="00D417A6">
      <w:pPr>
        <w:autoSpaceDE w:val="0"/>
        <w:autoSpaceDN w:val="0"/>
        <w:adjustRightInd w:val="0"/>
        <w:spacing w:line="240" w:lineRule="auto"/>
        <w:rPr>
          <w:rFonts w:ascii="Times New Roman" w:hAnsi="Times New Roman" w:cs="Times New Roman"/>
          <w:b/>
          <w:szCs w:val="24"/>
        </w:rPr>
      </w:pPr>
      <w:r w:rsidRPr="00D417A6">
        <w:rPr>
          <w:rFonts w:ascii="Times New Roman" w:hAnsi="Times New Roman" w:cs="Times New Roman"/>
          <w:b/>
          <w:szCs w:val="24"/>
        </w:rPr>
        <w:t>When may a provider accept money for health information?</w:t>
      </w:r>
    </w:p>
    <w:p w:rsidR="00D417A6" w:rsidRPr="00D417A6" w:rsidRDefault="00D417A6" w:rsidP="00D417A6">
      <w:pPr>
        <w:autoSpaceDE w:val="0"/>
        <w:autoSpaceDN w:val="0"/>
        <w:adjustRightInd w:val="0"/>
        <w:spacing w:line="240" w:lineRule="auto"/>
        <w:rPr>
          <w:rFonts w:ascii="Times New Roman" w:hAnsi="Times New Roman" w:cs="Times New Roman"/>
          <w:szCs w:val="24"/>
        </w:rPr>
      </w:pPr>
      <w:r>
        <w:rPr>
          <w:rFonts w:ascii="Times New Roman" w:hAnsi="Times New Roman" w:cs="Times New Roman"/>
          <w:szCs w:val="24"/>
        </w:rPr>
        <w:t>The HITECH Act explicitly prohibits the sale of PHI,</w:t>
      </w:r>
      <w:r>
        <w:rPr>
          <w:rStyle w:val="FootnoteReference"/>
          <w:rFonts w:ascii="Times New Roman" w:hAnsi="Times New Roman" w:cs="Times New Roman"/>
          <w:szCs w:val="24"/>
        </w:rPr>
        <w:footnoteReference w:id="1"/>
      </w:r>
      <w:r>
        <w:rPr>
          <w:rFonts w:ascii="Times New Roman" w:hAnsi="Times New Roman" w:cs="Times New Roman"/>
          <w:szCs w:val="24"/>
        </w:rPr>
        <w:t xml:space="preserve"> and </w:t>
      </w:r>
      <w:proofErr w:type="spellStart"/>
      <w:r>
        <w:rPr>
          <w:rFonts w:ascii="Times New Roman" w:hAnsi="Times New Roman" w:cs="Times New Roman"/>
          <w:szCs w:val="24"/>
        </w:rPr>
        <w:t>specificly</w:t>
      </w:r>
      <w:proofErr w:type="spellEnd"/>
      <w:r>
        <w:rPr>
          <w:rFonts w:ascii="Times New Roman" w:hAnsi="Times New Roman" w:cs="Times New Roman"/>
          <w:szCs w:val="24"/>
        </w:rPr>
        <w:t xml:space="preserve"> states that this prohibition extends to electronically stored health information</w:t>
      </w:r>
      <w:r>
        <w:rPr>
          <w:rStyle w:val="FootnoteReference"/>
          <w:rFonts w:ascii="Times New Roman" w:hAnsi="Times New Roman" w:cs="Times New Roman"/>
          <w:szCs w:val="24"/>
        </w:rPr>
        <w:footnoteReference w:id="2"/>
      </w:r>
      <w:r>
        <w:rPr>
          <w:rFonts w:ascii="Times New Roman" w:hAnsi="Times New Roman" w:cs="Times New Roman"/>
          <w:szCs w:val="24"/>
        </w:rPr>
        <w:t xml:space="preserve"> (Electronic Health Records, or “HER”).</w:t>
      </w:r>
    </w:p>
    <w:p w:rsidR="00D417A6" w:rsidRDefault="00D417A6" w:rsidP="00D417A6">
      <w:pPr>
        <w:autoSpaceDE w:val="0"/>
        <w:autoSpaceDN w:val="0"/>
        <w:adjustRightInd w:val="0"/>
        <w:spacing w:line="240" w:lineRule="auto"/>
        <w:rPr>
          <w:rFonts w:ascii="Times New Roman" w:hAnsi="Times New Roman" w:cs="Times New Roman"/>
          <w:szCs w:val="24"/>
        </w:rPr>
      </w:pPr>
    </w:p>
    <w:p w:rsidR="00D417A6" w:rsidRPr="00D417A6" w:rsidRDefault="00D417A6" w:rsidP="00D417A6">
      <w:pPr>
        <w:autoSpaceDE w:val="0"/>
        <w:autoSpaceDN w:val="0"/>
        <w:adjustRightInd w:val="0"/>
        <w:spacing w:line="240" w:lineRule="auto"/>
        <w:rPr>
          <w:rFonts w:ascii="Times New Roman" w:hAnsi="Times New Roman" w:cs="Times New Roman"/>
          <w:szCs w:val="24"/>
        </w:rPr>
      </w:pPr>
      <w:r>
        <w:rPr>
          <w:rFonts w:ascii="Times New Roman" w:hAnsi="Times New Roman" w:cs="Times New Roman"/>
          <w:szCs w:val="24"/>
        </w:rPr>
        <w:t xml:space="preserve">There are, however, several exceptions to this prohibition. </w:t>
      </w:r>
      <w:r w:rsidRPr="00D417A6">
        <w:rPr>
          <w:rFonts w:ascii="Times New Roman" w:hAnsi="Times New Roman" w:cs="Times New Roman"/>
          <w:szCs w:val="24"/>
        </w:rPr>
        <w:t>Thus,</w:t>
      </w:r>
      <w:r>
        <w:rPr>
          <w:rFonts w:ascii="Times New Roman" w:hAnsi="Times New Roman" w:cs="Times New Roman"/>
          <w:szCs w:val="24"/>
        </w:rPr>
        <w:t xml:space="preserve"> </w:t>
      </w:r>
      <w:r w:rsidRPr="00D417A6">
        <w:rPr>
          <w:rFonts w:ascii="Times New Roman" w:hAnsi="Times New Roman" w:cs="Times New Roman"/>
          <w:szCs w:val="24"/>
        </w:rPr>
        <w:t>a covered entity may, without an authorization, receive remuneration in exchange for</w:t>
      </w:r>
      <w:r>
        <w:rPr>
          <w:rFonts w:ascii="Times New Roman" w:hAnsi="Times New Roman" w:cs="Times New Roman"/>
          <w:szCs w:val="24"/>
        </w:rPr>
        <w:t xml:space="preserve"> </w:t>
      </w:r>
      <w:r w:rsidRPr="00D417A6">
        <w:rPr>
          <w:rFonts w:ascii="Times New Roman" w:hAnsi="Times New Roman" w:cs="Times New Roman"/>
          <w:szCs w:val="24"/>
        </w:rPr>
        <w:t>protected health information for:</w:t>
      </w:r>
    </w:p>
    <w:p w:rsidR="00D417A6" w:rsidRPr="00D417A6" w:rsidRDefault="00D417A6" w:rsidP="00D417A6">
      <w:pPr>
        <w:autoSpaceDE w:val="0"/>
        <w:autoSpaceDN w:val="0"/>
        <w:adjustRightInd w:val="0"/>
        <w:spacing w:line="240" w:lineRule="auto"/>
        <w:ind w:firstLine="720"/>
        <w:rPr>
          <w:rFonts w:ascii="Times New Roman" w:hAnsi="Times New Roman" w:cs="Times New Roman"/>
          <w:szCs w:val="24"/>
        </w:rPr>
      </w:pPr>
      <w:r w:rsidRPr="00D417A6">
        <w:rPr>
          <w:rFonts w:ascii="Times New Roman" w:hAnsi="Times New Roman" w:cs="Times New Roman"/>
          <w:szCs w:val="24"/>
        </w:rPr>
        <w:t>• Public health activities;</w:t>
      </w:r>
    </w:p>
    <w:p w:rsidR="00D417A6" w:rsidRPr="00D417A6" w:rsidRDefault="00D417A6" w:rsidP="00D417A6">
      <w:pPr>
        <w:autoSpaceDE w:val="0"/>
        <w:autoSpaceDN w:val="0"/>
        <w:adjustRightInd w:val="0"/>
        <w:spacing w:line="240" w:lineRule="auto"/>
        <w:ind w:firstLine="720"/>
        <w:rPr>
          <w:rFonts w:ascii="Times New Roman" w:hAnsi="Times New Roman" w:cs="Times New Roman"/>
          <w:szCs w:val="24"/>
        </w:rPr>
      </w:pPr>
      <w:r w:rsidRPr="00D417A6">
        <w:rPr>
          <w:rFonts w:ascii="Times New Roman" w:hAnsi="Times New Roman" w:cs="Times New Roman"/>
          <w:szCs w:val="24"/>
        </w:rPr>
        <w:t>• Research, provided that the amount of remuneration reflects the costs</w:t>
      </w:r>
    </w:p>
    <w:p w:rsidR="00D417A6" w:rsidRPr="00D417A6" w:rsidRDefault="00D417A6" w:rsidP="00D417A6">
      <w:pPr>
        <w:autoSpaceDE w:val="0"/>
        <w:autoSpaceDN w:val="0"/>
        <w:adjustRightInd w:val="0"/>
        <w:spacing w:line="240" w:lineRule="auto"/>
        <w:rPr>
          <w:rFonts w:ascii="Times New Roman" w:hAnsi="Times New Roman" w:cs="Times New Roman"/>
          <w:szCs w:val="24"/>
        </w:rPr>
      </w:pPr>
      <w:proofErr w:type="gramStart"/>
      <w:r w:rsidRPr="00D417A6">
        <w:rPr>
          <w:rFonts w:ascii="Times New Roman" w:hAnsi="Times New Roman" w:cs="Times New Roman"/>
          <w:szCs w:val="24"/>
        </w:rPr>
        <w:t>of</w:t>
      </w:r>
      <w:proofErr w:type="gramEnd"/>
      <w:r w:rsidRPr="00D417A6">
        <w:rPr>
          <w:rFonts w:ascii="Times New Roman" w:hAnsi="Times New Roman" w:cs="Times New Roman"/>
          <w:szCs w:val="24"/>
        </w:rPr>
        <w:t xml:space="preserve"> preparation and transmittal of the protected health information;</w:t>
      </w:r>
    </w:p>
    <w:p w:rsidR="00D417A6" w:rsidRPr="00D417A6" w:rsidRDefault="00D417A6" w:rsidP="00D417A6">
      <w:pPr>
        <w:autoSpaceDE w:val="0"/>
        <w:autoSpaceDN w:val="0"/>
        <w:adjustRightInd w:val="0"/>
        <w:spacing w:line="240" w:lineRule="auto"/>
        <w:ind w:firstLine="720"/>
        <w:rPr>
          <w:rFonts w:ascii="Times New Roman" w:hAnsi="Times New Roman" w:cs="Times New Roman"/>
          <w:szCs w:val="24"/>
        </w:rPr>
      </w:pPr>
      <w:r w:rsidRPr="00D417A6">
        <w:rPr>
          <w:rFonts w:ascii="Times New Roman" w:hAnsi="Times New Roman" w:cs="Times New Roman"/>
          <w:szCs w:val="24"/>
        </w:rPr>
        <w:t>• Treatment;</w:t>
      </w:r>
    </w:p>
    <w:p w:rsidR="00D417A6" w:rsidRPr="00D417A6" w:rsidRDefault="00D417A6" w:rsidP="00D417A6">
      <w:pPr>
        <w:autoSpaceDE w:val="0"/>
        <w:autoSpaceDN w:val="0"/>
        <w:adjustRightInd w:val="0"/>
        <w:spacing w:line="240" w:lineRule="auto"/>
        <w:ind w:firstLine="720"/>
        <w:rPr>
          <w:rFonts w:ascii="Times New Roman" w:hAnsi="Times New Roman" w:cs="Times New Roman"/>
          <w:szCs w:val="24"/>
        </w:rPr>
      </w:pPr>
      <w:r w:rsidRPr="00D417A6">
        <w:rPr>
          <w:rFonts w:ascii="Times New Roman" w:hAnsi="Times New Roman" w:cs="Times New Roman"/>
          <w:szCs w:val="24"/>
        </w:rPr>
        <w:t>• “[S]ale, transfer, merger, or consolidation of all or part of the covered</w:t>
      </w:r>
    </w:p>
    <w:p w:rsidR="00D417A6" w:rsidRPr="00D417A6" w:rsidRDefault="00D417A6" w:rsidP="00D417A6">
      <w:pPr>
        <w:autoSpaceDE w:val="0"/>
        <w:autoSpaceDN w:val="0"/>
        <w:adjustRightInd w:val="0"/>
        <w:spacing w:line="240" w:lineRule="auto"/>
        <w:rPr>
          <w:rFonts w:ascii="Times New Roman" w:hAnsi="Times New Roman" w:cs="Times New Roman"/>
          <w:szCs w:val="24"/>
        </w:rPr>
      </w:pPr>
      <w:proofErr w:type="gramStart"/>
      <w:r w:rsidRPr="00D417A6">
        <w:rPr>
          <w:rFonts w:ascii="Times New Roman" w:hAnsi="Times New Roman" w:cs="Times New Roman"/>
          <w:szCs w:val="24"/>
        </w:rPr>
        <w:t>entity</w:t>
      </w:r>
      <w:proofErr w:type="gramEnd"/>
      <w:r w:rsidRPr="00D417A6">
        <w:rPr>
          <w:rFonts w:ascii="Times New Roman" w:hAnsi="Times New Roman" w:cs="Times New Roman"/>
          <w:szCs w:val="24"/>
        </w:rPr>
        <w:t xml:space="preserve"> with another covered entity . . . and due diligence related to such</w:t>
      </w:r>
    </w:p>
    <w:p w:rsidR="00D417A6" w:rsidRPr="00D417A6" w:rsidRDefault="00D417A6" w:rsidP="00D417A6">
      <w:pPr>
        <w:autoSpaceDE w:val="0"/>
        <w:autoSpaceDN w:val="0"/>
        <w:adjustRightInd w:val="0"/>
        <w:spacing w:line="240" w:lineRule="auto"/>
        <w:rPr>
          <w:rFonts w:ascii="Times New Roman" w:hAnsi="Times New Roman" w:cs="Times New Roman"/>
          <w:szCs w:val="24"/>
        </w:rPr>
      </w:pPr>
      <w:proofErr w:type="gramStart"/>
      <w:r w:rsidRPr="00D417A6">
        <w:rPr>
          <w:rFonts w:ascii="Times New Roman" w:hAnsi="Times New Roman" w:cs="Times New Roman"/>
          <w:szCs w:val="24"/>
        </w:rPr>
        <w:t>activity</w:t>
      </w:r>
      <w:proofErr w:type="gramEnd"/>
      <w:r w:rsidRPr="00D417A6">
        <w:rPr>
          <w:rFonts w:ascii="Times New Roman" w:hAnsi="Times New Roman" w:cs="Times New Roman"/>
          <w:szCs w:val="24"/>
        </w:rPr>
        <w:t xml:space="preserve">,” </w:t>
      </w:r>
      <w:r w:rsidRPr="00D417A6">
        <w:rPr>
          <w:rFonts w:ascii="Times New Roman" w:hAnsi="Times New Roman" w:cs="Times New Roman"/>
          <w:i/>
          <w:iCs/>
          <w:szCs w:val="24"/>
        </w:rPr>
        <w:t xml:space="preserve">see </w:t>
      </w:r>
      <w:r w:rsidRPr="00D417A6">
        <w:rPr>
          <w:rFonts w:ascii="Times New Roman" w:hAnsi="Times New Roman" w:cs="Times New Roman"/>
          <w:szCs w:val="24"/>
        </w:rPr>
        <w:t>45 C.F.R. § 164.501 (“health care operations” ¶ (6)(iv));</w:t>
      </w:r>
    </w:p>
    <w:p w:rsidR="00D417A6" w:rsidRPr="00D417A6" w:rsidRDefault="00D417A6" w:rsidP="00D417A6">
      <w:pPr>
        <w:autoSpaceDE w:val="0"/>
        <w:autoSpaceDN w:val="0"/>
        <w:adjustRightInd w:val="0"/>
        <w:spacing w:line="240" w:lineRule="auto"/>
        <w:ind w:firstLine="720"/>
        <w:rPr>
          <w:rFonts w:ascii="Times New Roman" w:hAnsi="Times New Roman" w:cs="Times New Roman"/>
          <w:szCs w:val="24"/>
        </w:rPr>
      </w:pPr>
      <w:r w:rsidRPr="00D417A6">
        <w:rPr>
          <w:rFonts w:ascii="Times New Roman" w:hAnsi="Times New Roman" w:cs="Times New Roman"/>
          <w:szCs w:val="24"/>
        </w:rPr>
        <w:t>• Remuneration paid to a business associate for conducting activities “at</w:t>
      </w:r>
    </w:p>
    <w:p w:rsidR="00D417A6" w:rsidRPr="00D417A6" w:rsidRDefault="00D417A6" w:rsidP="00D417A6">
      <w:pPr>
        <w:autoSpaceDE w:val="0"/>
        <w:autoSpaceDN w:val="0"/>
        <w:adjustRightInd w:val="0"/>
        <w:spacing w:line="240" w:lineRule="auto"/>
        <w:rPr>
          <w:rFonts w:ascii="Times New Roman" w:hAnsi="Times New Roman" w:cs="Times New Roman"/>
          <w:szCs w:val="24"/>
        </w:rPr>
      </w:pPr>
      <w:proofErr w:type="gramStart"/>
      <w:r w:rsidRPr="00D417A6">
        <w:rPr>
          <w:rFonts w:ascii="Times New Roman" w:hAnsi="Times New Roman" w:cs="Times New Roman"/>
          <w:szCs w:val="24"/>
        </w:rPr>
        <w:t>the</w:t>
      </w:r>
      <w:proofErr w:type="gramEnd"/>
      <w:r w:rsidRPr="00D417A6">
        <w:rPr>
          <w:rFonts w:ascii="Times New Roman" w:hAnsi="Times New Roman" w:cs="Times New Roman"/>
          <w:szCs w:val="24"/>
        </w:rPr>
        <w:t xml:space="preserve"> specific request of the covered entity [and] pursuant to a business</w:t>
      </w:r>
    </w:p>
    <w:p w:rsidR="00D417A6" w:rsidRPr="00D417A6" w:rsidRDefault="00D417A6" w:rsidP="00D417A6">
      <w:pPr>
        <w:autoSpaceDE w:val="0"/>
        <w:autoSpaceDN w:val="0"/>
        <w:adjustRightInd w:val="0"/>
        <w:spacing w:line="240" w:lineRule="auto"/>
        <w:rPr>
          <w:rFonts w:ascii="Times New Roman" w:hAnsi="Times New Roman" w:cs="Times New Roman"/>
          <w:szCs w:val="24"/>
        </w:rPr>
      </w:pPr>
      <w:proofErr w:type="gramStart"/>
      <w:r w:rsidRPr="00D417A6">
        <w:rPr>
          <w:rFonts w:ascii="Times New Roman" w:hAnsi="Times New Roman" w:cs="Times New Roman"/>
          <w:szCs w:val="24"/>
        </w:rPr>
        <w:t>associate</w:t>
      </w:r>
      <w:proofErr w:type="gramEnd"/>
      <w:r w:rsidRPr="00D417A6">
        <w:rPr>
          <w:rFonts w:ascii="Times New Roman" w:hAnsi="Times New Roman" w:cs="Times New Roman"/>
          <w:szCs w:val="24"/>
        </w:rPr>
        <w:t xml:space="preserve"> agreement”;</w:t>
      </w:r>
    </w:p>
    <w:p w:rsidR="00D417A6" w:rsidRPr="00D417A6" w:rsidRDefault="00D417A6" w:rsidP="00D417A6">
      <w:pPr>
        <w:autoSpaceDE w:val="0"/>
        <w:autoSpaceDN w:val="0"/>
        <w:adjustRightInd w:val="0"/>
        <w:spacing w:line="240" w:lineRule="auto"/>
        <w:ind w:firstLine="720"/>
        <w:rPr>
          <w:rFonts w:ascii="Times New Roman" w:hAnsi="Times New Roman" w:cs="Times New Roman"/>
          <w:szCs w:val="24"/>
        </w:rPr>
      </w:pPr>
      <w:r w:rsidRPr="00D417A6">
        <w:rPr>
          <w:rFonts w:ascii="Times New Roman" w:hAnsi="Times New Roman" w:cs="Times New Roman"/>
          <w:szCs w:val="24"/>
        </w:rPr>
        <w:t>• An individual’s copy of his/her own protected health information in a</w:t>
      </w:r>
    </w:p>
    <w:p w:rsidR="00D417A6" w:rsidRPr="00D417A6" w:rsidRDefault="00D417A6" w:rsidP="00D417A6">
      <w:pPr>
        <w:autoSpaceDE w:val="0"/>
        <w:autoSpaceDN w:val="0"/>
        <w:adjustRightInd w:val="0"/>
        <w:spacing w:line="240" w:lineRule="auto"/>
        <w:rPr>
          <w:rFonts w:ascii="Times New Roman" w:hAnsi="Times New Roman" w:cs="Times New Roman"/>
          <w:szCs w:val="24"/>
        </w:rPr>
      </w:pPr>
      <w:proofErr w:type="gramStart"/>
      <w:r w:rsidRPr="00D417A6">
        <w:rPr>
          <w:rFonts w:ascii="Times New Roman" w:hAnsi="Times New Roman" w:cs="Times New Roman"/>
          <w:szCs w:val="24"/>
        </w:rPr>
        <w:t>designated</w:t>
      </w:r>
      <w:proofErr w:type="gramEnd"/>
      <w:r w:rsidRPr="00D417A6">
        <w:rPr>
          <w:rFonts w:ascii="Times New Roman" w:hAnsi="Times New Roman" w:cs="Times New Roman"/>
          <w:szCs w:val="24"/>
        </w:rPr>
        <w:t xml:space="preserve"> record set, pursuant to 45 C.F.R. § 164.524; and</w:t>
      </w:r>
    </w:p>
    <w:p w:rsidR="00D417A6" w:rsidRPr="00D417A6" w:rsidRDefault="00D417A6" w:rsidP="00D417A6">
      <w:pPr>
        <w:autoSpaceDE w:val="0"/>
        <w:autoSpaceDN w:val="0"/>
        <w:adjustRightInd w:val="0"/>
        <w:spacing w:line="240" w:lineRule="auto"/>
        <w:ind w:firstLine="720"/>
        <w:rPr>
          <w:rFonts w:ascii="Times New Roman" w:hAnsi="Times New Roman" w:cs="Times New Roman"/>
          <w:szCs w:val="24"/>
        </w:rPr>
      </w:pPr>
      <w:r w:rsidRPr="00D417A6">
        <w:rPr>
          <w:rFonts w:ascii="Times New Roman" w:hAnsi="Times New Roman" w:cs="Times New Roman"/>
          <w:szCs w:val="24"/>
        </w:rPr>
        <w:t>• Other purposes permitted by HHS regulation.</w:t>
      </w:r>
    </w:p>
    <w:p w:rsidR="00D417A6" w:rsidRPr="00D417A6" w:rsidRDefault="00D417A6" w:rsidP="00D417A6">
      <w:pPr>
        <w:autoSpaceDE w:val="0"/>
        <w:autoSpaceDN w:val="0"/>
        <w:adjustRightInd w:val="0"/>
        <w:spacing w:line="240" w:lineRule="auto"/>
        <w:rPr>
          <w:rFonts w:ascii="Times New Roman" w:hAnsi="Times New Roman" w:cs="Times New Roman"/>
          <w:szCs w:val="24"/>
        </w:rPr>
      </w:pPr>
      <w:r w:rsidRPr="00D417A6">
        <w:rPr>
          <w:rFonts w:ascii="Times New Roman" w:hAnsi="Times New Roman" w:cs="Times New Roman"/>
          <w:szCs w:val="24"/>
        </w:rPr>
        <w:t>A covered entity may sell protected health information pursuant to an authorization that</w:t>
      </w:r>
    </w:p>
    <w:p w:rsidR="00D417A6" w:rsidRPr="00D417A6" w:rsidRDefault="00D417A6" w:rsidP="00D417A6">
      <w:pPr>
        <w:autoSpaceDE w:val="0"/>
        <w:autoSpaceDN w:val="0"/>
        <w:adjustRightInd w:val="0"/>
        <w:spacing w:line="240" w:lineRule="auto"/>
        <w:rPr>
          <w:rFonts w:ascii="Times New Roman" w:hAnsi="Times New Roman" w:cs="Times New Roman"/>
          <w:szCs w:val="24"/>
        </w:rPr>
      </w:pPr>
      <w:proofErr w:type="gramStart"/>
      <w:r w:rsidRPr="00D417A6">
        <w:rPr>
          <w:rFonts w:ascii="Times New Roman" w:hAnsi="Times New Roman" w:cs="Times New Roman"/>
          <w:szCs w:val="24"/>
        </w:rPr>
        <w:t>acknowledges</w:t>
      </w:r>
      <w:proofErr w:type="gramEnd"/>
      <w:r w:rsidRPr="00D417A6">
        <w:rPr>
          <w:rFonts w:ascii="Times New Roman" w:hAnsi="Times New Roman" w:cs="Times New Roman"/>
          <w:szCs w:val="24"/>
        </w:rPr>
        <w:t xml:space="preserve"> receipt of remuneration. 45 C.F.R. § 164.508(a</w:t>
      </w:r>
      <w:proofErr w:type="gramStart"/>
      <w:r w:rsidRPr="00D417A6">
        <w:rPr>
          <w:rFonts w:ascii="Times New Roman" w:hAnsi="Times New Roman" w:cs="Times New Roman"/>
          <w:szCs w:val="24"/>
        </w:rPr>
        <w:t>)(</w:t>
      </w:r>
      <w:proofErr w:type="gramEnd"/>
      <w:r w:rsidRPr="00D417A6">
        <w:rPr>
          <w:rFonts w:ascii="Times New Roman" w:hAnsi="Times New Roman" w:cs="Times New Roman"/>
          <w:szCs w:val="24"/>
        </w:rPr>
        <w:t>3)(ii). A covered entity may also</w:t>
      </w:r>
    </w:p>
    <w:p w:rsidR="00D417A6" w:rsidRPr="00D417A6" w:rsidRDefault="00D417A6" w:rsidP="00D417A6">
      <w:pPr>
        <w:autoSpaceDE w:val="0"/>
        <w:autoSpaceDN w:val="0"/>
        <w:adjustRightInd w:val="0"/>
        <w:spacing w:line="240" w:lineRule="auto"/>
        <w:rPr>
          <w:rFonts w:ascii="Times New Roman" w:hAnsi="Times New Roman" w:cs="Times New Roman"/>
          <w:szCs w:val="24"/>
        </w:rPr>
      </w:pPr>
      <w:proofErr w:type="gramStart"/>
      <w:r w:rsidRPr="00D417A6">
        <w:rPr>
          <w:rFonts w:ascii="Times New Roman" w:hAnsi="Times New Roman" w:cs="Times New Roman"/>
          <w:szCs w:val="24"/>
        </w:rPr>
        <w:t>include</w:t>
      </w:r>
      <w:proofErr w:type="gramEnd"/>
      <w:r w:rsidRPr="00D417A6">
        <w:rPr>
          <w:rFonts w:ascii="Times New Roman" w:hAnsi="Times New Roman" w:cs="Times New Roman"/>
          <w:szCs w:val="24"/>
        </w:rPr>
        <w:t xml:space="preserve"> protected health information in the “sale, transfer, merger, or consolidation of all or part of</w:t>
      </w:r>
    </w:p>
    <w:p w:rsidR="00D417A6" w:rsidRPr="00D417A6" w:rsidRDefault="00D417A6" w:rsidP="00D417A6">
      <w:pPr>
        <w:autoSpaceDE w:val="0"/>
        <w:autoSpaceDN w:val="0"/>
        <w:adjustRightInd w:val="0"/>
        <w:spacing w:line="240" w:lineRule="auto"/>
        <w:rPr>
          <w:rFonts w:ascii="Times New Roman" w:hAnsi="Times New Roman" w:cs="Times New Roman"/>
          <w:szCs w:val="24"/>
        </w:rPr>
      </w:pPr>
      <w:proofErr w:type="gramStart"/>
      <w:r w:rsidRPr="00D417A6">
        <w:rPr>
          <w:rFonts w:ascii="Times New Roman" w:hAnsi="Times New Roman" w:cs="Times New Roman"/>
          <w:szCs w:val="24"/>
        </w:rPr>
        <w:t>the</w:t>
      </w:r>
      <w:proofErr w:type="gramEnd"/>
      <w:r w:rsidRPr="00D417A6">
        <w:rPr>
          <w:rFonts w:ascii="Times New Roman" w:hAnsi="Times New Roman" w:cs="Times New Roman"/>
          <w:szCs w:val="24"/>
        </w:rPr>
        <w:t xml:space="preserve"> covered entity with another covered entity . . . and [may use and disclose protected health</w:t>
      </w:r>
    </w:p>
    <w:p w:rsidR="00D417A6" w:rsidRPr="00D417A6" w:rsidRDefault="00D417A6" w:rsidP="00D417A6">
      <w:pPr>
        <w:autoSpaceDE w:val="0"/>
        <w:autoSpaceDN w:val="0"/>
        <w:adjustRightInd w:val="0"/>
        <w:spacing w:line="240" w:lineRule="auto"/>
        <w:rPr>
          <w:rFonts w:ascii="Times New Roman" w:hAnsi="Times New Roman" w:cs="Times New Roman"/>
          <w:szCs w:val="24"/>
        </w:rPr>
      </w:pPr>
      <w:r w:rsidRPr="00D417A6">
        <w:rPr>
          <w:rFonts w:ascii="Times New Roman" w:hAnsi="Times New Roman" w:cs="Times New Roman"/>
          <w:szCs w:val="24"/>
        </w:rPr>
        <w:t>information for] due diligence related to such activity.” 45 C.F.R. §§ 164.501 (“health care</w:t>
      </w:r>
    </w:p>
    <w:p w:rsidR="00D417A6" w:rsidRPr="00D417A6" w:rsidRDefault="00D417A6" w:rsidP="00D417A6">
      <w:pPr>
        <w:pStyle w:val="Default"/>
      </w:pPr>
      <w:r w:rsidRPr="00D417A6">
        <w:t>operations” ¶ (6</w:t>
      </w:r>
      <w:proofErr w:type="gramStart"/>
      <w:r w:rsidRPr="00D417A6">
        <w:t>)(</w:t>
      </w:r>
      <w:proofErr w:type="gramEnd"/>
      <w:r w:rsidRPr="00D417A6">
        <w:t>iv)), 164.502(a)(1)(ii).</w:t>
      </w:r>
    </w:p>
    <w:p w:rsidR="00E779A2" w:rsidRPr="00D417A6" w:rsidRDefault="00E779A2">
      <w:pPr>
        <w:rPr>
          <w:rFonts w:ascii="Times New Roman" w:hAnsi="Times New Roman" w:cs="Times New Roman"/>
          <w:szCs w:val="24"/>
        </w:rPr>
      </w:pPr>
    </w:p>
    <w:p w:rsidR="00E779A2" w:rsidRPr="00D417A6" w:rsidRDefault="00E779A2">
      <w:pPr>
        <w:rPr>
          <w:rFonts w:ascii="Times New Roman" w:hAnsi="Times New Roman" w:cs="Times New Roman"/>
          <w:szCs w:val="24"/>
        </w:rPr>
      </w:pPr>
    </w:p>
    <w:p w:rsidR="00E779A2" w:rsidRPr="00D417A6" w:rsidRDefault="00E779A2">
      <w:pPr>
        <w:rPr>
          <w:rFonts w:ascii="Times New Roman" w:hAnsi="Times New Roman" w:cs="Times New Roman"/>
          <w:szCs w:val="24"/>
        </w:rPr>
      </w:pPr>
    </w:p>
    <w:p w:rsidR="00E779A2" w:rsidRPr="00D417A6" w:rsidRDefault="00E779A2">
      <w:pPr>
        <w:rPr>
          <w:rFonts w:ascii="Times New Roman" w:hAnsi="Times New Roman" w:cs="Times New Roman"/>
          <w:szCs w:val="24"/>
        </w:rPr>
      </w:pPr>
    </w:p>
    <w:p w:rsidR="00E779A2" w:rsidRPr="00D417A6" w:rsidRDefault="00E779A2">
      <w:pPr>
        <w:rPr>
          <w:rFonts w:ascii="Times New Roman" w:hAnsi="Times New Roman" w:cs="Times New Roman"/>
          <w:szCs w:val="24"/>
        </w:rPr>
      </w:pPr>
    </w:p>
    <w:p w:rsidR="00E779A2" w:rsidRPr="00D417A6" w:rsidRDefault="00E779A2">
      <w:pPr>
        <w:rPr>
          <w:rFonts w:ascii="Times New Roman" w:hAnsi="Times New Roman" w:cs="Times New Roman"/>
          <w:szCs w:val="24"/>
        </w:rPr>
      </w:pPr>
    </w:p>
    <w:p w:rsidR="00E779A2" w:rsidRPr="00D417A6" w:rsidRDefault="00E779A2">
      <w:pPr>
        <w:rPr>
          <w:rFonts w:ascii="Times New Roman" w:hAnsi="Times New Roman" w:cs="Times New Roman"/>
          <w:szCs w:val="24"/>
        </w:rPr>
      </w:pPr>
    </w:p>
    <w:p w:rsidR="00E779A2" w:rsidRPr="00D417A6" w:rsidRDefault="00E779A2">
      <w:pPr>
        <w:rPr>
          <w:rFonts w:ascii="Times New Roman" w:hAnsi="Times New Roman" w:cs="Times New Roman"/>
          <w:szCs w:val="24"/>
        </w:rPr>
      </w:pPr>
    </w:p>
    <w:p w:rsidR="00E779A2" w:rsidRPr="00D417A6" w:rsidRDefault="00E779A2">
      <w:pPr>
        <w:rPr>
          <w:rFonts w:ascii="Times New Roman" w:hAnsi="Times New Roman" w:cs="Times New Roman"/>
          <w:szCs w:val="24"/>
        </w:rPr>
      </w:pPr>
    </w:p>
    <w:p w:rsidR="00E779A2" w:rsidRPr="00D417A6" w:rsidRDefault="00E779A2">
      <w:pPr>
        <w:rPr>
          <w:rFonts w:ascii="Times New Roman" w:hAnsi="Times New Roman" w:cs="Times New Roman"/>
          <w:szCs w:val="24"/>
        </w:rPr>
      </w:pPr>
    </w:p>
    <w:p w:rsidR="00E779A2" w:rsidRPr="00D417A6" w:rsidRDefault="00E779A2">
      <w:pPr>
        <w:rPr>
          <w:rFonts w:ascii="Times New Roman" w:hAnsi="Times New Roman" w:cs="Times New Roman"/>
          <w:szCs w:val="24"/>
        </w:rPr>
      </w:pPr>
    </w:p>
    <w:p w:rsidR="00E779A2" w:rsidRPr="00D417A6" w:rsidRDefault="00E779A2">
      <w:pPr>
        <w:rPr>
          <w:rFonts w:ascii="Times New Roman" w:hAnsi="Times New Roman" w:cs="Times New Roman"/>
          <w:szCs w:val="24"/>
        </w:rPr>
      </w:pPr>
    </w:p>
    <w:p w:rsidR="00E779A2" w:rsidRPr="00D417A6" w:rsidRDefault="00E779A2">
      <w:pPr>
        <w:rPr>
          <w:rFonts w:ascii="Times New Roman" w:hAnsi="Times New Roman" w:cs="Times New Roman"/>
          <w:szCs w:val="24"/>
        </w:rPr>
      </w:pPr>
    </w:p>
    <w:p w:rsidR="00E779A2" w:rsidRPr="00D417A6" w:rsidRDefault="00E779A2">
      <w:pPr>
        <w:rPr>
          <w:rFonts w:ascii="Times New Roman" w:hAnsi="Times New Roman" w:cs="Times New Roman"/>
          <w:szCs w:val="24"/>
        </w:rPr>
      </w:pPr>
    </w:p>
    <w:p w:rsidR="00E779A2" w:rsidRPr="00D417A6" w:rsidRDefault="00E779A2">
      <w:pPr>
        <w:rPr>
          <w:rFonts w:ascii="Times New Roman" w:hAnsi="Times New Roman" w:cs="Times New Roman"/>
          <w:szCs w:val="24"/>
        </w:rPr>
      </w:pPr>
    </w:p>
    <w:p w:rsidR="00E779A2" w:rsidRPr="00D417A6" w:rsidRDefault="00E779A2">
      <w:pPr>
        <w:rPr>
          <w:rFonts w:ascii="Times New Roman" w:hAnsi="Times New Roman" w:cs="Times New Roman"/>
          <w:szCs w:val="24"/>
        </w:rPr>
      </w:pPr>
    </w:p>
    <w:p w:rsidR="00E779A2" w:rsidRPr="00D417A6" w:rsidRDefault="00E779A2">
      <w:pPr>
        <w:rPr>
          <w:rFonts w:ascii="Times New Roman" w:hAnsi="Times New Roman" w:cs="Times New Roman"/>
          <w:szCs w:val="24"/>
        </w:rPr>
      </w:pPr>
    </w:p>
    <w:p w:rsidR="00E779A2" w:rsidRPr="00D417A6" w:rsidRDefault="00E779A2">
      <w:pPr>
        <w:rPr>
          <w:rFonts w:ascii="Times New Roman" w:hAnsi="Times New Roman" w:cs="Times New Roman"/>
          <w:szCs w:val="24"/>
        </w:rPr>
      </w:pPr>
    </w:p>
    <w:p w:rsidR="00E779A2" w:rsidRPr="00D417A6" w:rsidRDefault="00E779A2">
      <w:pPr>
        <w:rPr>
          <w:rFonts w:ascii="Times New Roman" w:hAnsi="Times New Roman" w:cs="Times New Roman"/>
          <w:szCs w:val="24"/>
        </w:rPr>
      </w:pPr>
    </w:p>
    <w:p w:rsidR="00E779A2" w:rsidRPr="00D417A6" w:rsidRDefault="00E779A2">
      <w:pPr>
        <w:rPr>
          <w:rFonts w:ascii="Times New Roman" w:hAnsi="Times New Roman" w:cs="Times New Roman"/>
          <w:szCs w:val="24"/>
        </w:rPr>
      </w:pPr>
    </w:p>
    <w:p w:rsidR="00697FEF" w:rsidRPr="00D417A6" w:rsidRDefault="00B70E5C">
      <w:pPr>
        <w:rPr>
          <w:rFonts w:ascii="Times New Roman" w:hAnsi="Times New Roman" w:cs="Times New Roman"/>
          <w:szCs w:val="24"/>
        </w:rPr>
      </w:pPr>
      <w:r w:rsidRPr="00D417A6">
        <w:rPr>
          <w:rFonts w:ascii="Times New Roman" w:hAnsi="Times New Roman" w:cs="Times New Roman"/>
          <w:szCs w:val="24"/>
        </w:rPr>
        <w:t>Earlier this year, the Depar</w:t>
      </w:r>
      <w:r w:rsidR="00F27E45" w:rsidRPr="00D417A6">
        <w:rPr>
          <w:rFonts w:ascii="Times New Roman" w:hAnsi="Times New Roman" w:cs="Times New Roman"/>
          <w:szCs w:val="24"/>
        </w:rPr>
        <w:t>t</w:t>
      </w:r>
      <w:r w:rsidRPr="00D417A6">
        <w:rPr>
          <w:rFonts w:ascii="Times New Roman" w:hAnsi="Times New Roman" w:cs="Times New Roman"/>
          <w:szCs w:val="24"/>
        </w:rPr>
        <w:t>ment of Health and Human Services (HHS) published</w:t>
      </w:r>
      <w:r w:rsidR="00697FEF" w:rsidRPr="00D417A6">
        <w:rPr>
          <w:rFonts w:ascii="Times New Roman" w:hAnsi="Times New Roman" w:cs="Times New Roman"/>
          <w:szCs w:val="24"/>
        </w:rPr>
        <w:t xml:space="preserve"> </w:t>
      </w:r>
      <w:r w:rsidRPr="00D417A6">
        <w:rPr>
          <w:rFonts w:ascii="Times New Roman" w:hAnsi="Times New Roman" w:cs="Times New Roman"/>
          <w:szCs w:val="24"/>
        </w:rPr>
        <w:t xml:space="preserve">a final rule, changing parts of the HIPAA Privacy, Security, Breach Notification, and Enforcement Rules. Some of these are changes required by the </w:t>
      </w:r>
      <w:r w:rsidR="00697FEF" w:rsidRPr="00D417A6">
        <w:rPr>
          <w:rFonts w:ascii="Times New Roman" w:hAnsi="Times New Roman" w:cs="Times New Roman"/>
          <w:szCs w:val="24"/>
        </w:rPr>
        <w:t>Health Information Technology for Economic and Clinical Health (“HITECH”) Act</w:t>
      </w:r>
      <w:r w:rsidRPr="00D417A6">
        <w:rPr>
          <w:rFonts w:ascii="Times New Roman" w:hAnsi="Times New Roman" w:cs="Times New Roman"/>
          <w:szCs w:val="24"/>
        </w:rPr>
        <w:t xml:space="preserve"> or by the Genetic Information Nondiscrimination Act (“GINA”). These two laws, and the changes adopted by the final rule, reflect the health industry’s growing reliance on electronically stored information, as well as Congress’s concern for patient information to be kept safe.  </w:t>
      </w:r>
    </w:p>
    <w:p w:rsidR="00075553" w:rsidRPr="00D417A6" w:rsidRDefault="00075553">
      <w:pPr>
        <w:rPr>
          <w:rFonts w:ascii="Times New Roman" w:hAnsi="Times New Roman" w:cs="Times New Roman"/>
          <w:szCs w:val="24"/>
        </w:rPr>
      </w:pPr>
      <w:r w:rsidRPr="00D417A6">
        <w:rPr>
          <w:rFonts w:ascii="Times New Roman" w:hAnsi="Times New Roman" w:cs="Times New Roman"/>
          <w:szCs w:val="24"/>
        </w:rPr>
        <w:t xml:space="preserve">Notably, HITECH changes HIPAA’s data breach notification requirements, requirements for business associates, restrictions on marketing, revision of the minimum necessary standard, restrictions on the sale of protected health information and Electronic Health Records, requirements for certain requests to restrict use or disclosure of protected health information, </w:t>
      </w:r>
      <w:proofErr w:type="spellStart"/>
      <w:r w:rsidRPr="00D417A6">
        <w:rPr>
          <w:rFonts w:ascii="Times New Roman" w:hAnsi="Times New Roman" w:cs="Times New Roman"/>
          <w:szCs w:val="24"/>
        </w:rPr>
        <w:t>provisoin</w:t>
      </w:r>
      <w:proofErr w:type="spellEnd"/>
      <w:r w:rsidRPr="00D417A6">
        <w:rPr>
          <w:rFonts w:ascii="Times New Roman" w:hAnsi="Times New Roman" w:cs="Times New Roman"/>
          <w:szCs w:val="24"/>
        </w:rPr>
        <w:t xml:space="preserve"> related to Electronic Health Records, and enhanced enforcement of HIPAA Privacy and Security provisions.</w:t>
      </w:r>
    </w:p>
    <w:p w:rsidR="00B70E5C" w:rsidRPr="00D417A6" w:rsidRDefault="00B70E5C">
      <w:pPr>
        <w:rPr>
          <w:rFonts w:ascii="Times New Roman" w:hAnsi="Times New Roman" w:cs="Times New Roman"/>
          <w:szCs w:val="24"/>
        </w:rPr>
      </w:pPr>
    </w:p>
    <w:p w:rsidR="00697FEF" w:rsidRPr="00D417A6" w:rsidRDefault="002F2EED">
      <w:pPr>
        <w:rPr>
          <w:rFonts w:ascii="Times New Roman" w:hAnsi="Times New Roman" w:cs="Times New Roman"/>
          <w:szCs w:val="24"/>
        </w:rPr>
      </w:pPr>
      <w:r w:rsidRPr="00D417A6">
        <w:rPr>
          <w:rFonts w:ascii="Times New Roman" w:hAnsi="Times New Roman" w:cs="Times New Roman"/>
          <w:szCs w:val="24"/>
          <w:u w:val="single"/>
        </w:rPr>
        <w:t>Penalties</w:t>
      </w:r>
      <w:r w:rsidRPr="00D417A6">
        <w:rPr>
          <w:rFonts w:ascii="Times New Roman" w:hAnsi="Times New Roman" w:cs="Times New Roman"/>
          <w:szCs w:val="24"/>
        </w:rPr>
        <w:t xml:space="preserve">: </w:t>
      </w:r>
    </w:p>
    <w:p w:rsidR="000D4C4A" w:rsidRPr="00D417A6" w:rsidRDefault="002F2EED" w:rsidP="00774930">
      <w:pPr>
        <w:autoSpaceDE w:val="0"/>
        <w:autoSpaceDN w:val="0"/>
        <w:adjustRightInd w:val="0"/>
        <w:spacing w:line="240" w:lineRule="auto"/>
        <w:rPr>
          <w:rFonts w:ascii="Times New Roman" w:hAnsi="Times New Roman" w:cs="Times New Roman"/>
          <w:szCs w:val="24"/>
        </w:rPr>
      </w:pPr>
      <w:r w:rsidRPr="00D417A6">
        <w:rPr>
          <w:rFonts w:ascii="Times New Roman" w:hAnsi="Times New Roman" w:cs="Times New Roman"/>
          <w:szCs w:val="24"/>
          <w:u w:val="single"/>
        </w:rPr>
        <w:t>Civil/monetary penalties</w:t>
      </w:r>
      <w:r w:rsidRPr="00D417A6">
        <w:rPr>
          <w:rFonts w:ascii="Times New Roman" w:hAnsi="Times New Roman" w:cs="Times New Roman"/>
          <w:szCs w:val="24"/>
        </w:rPr>
        <w:t xml:space="preserve"> imposed for violating HIPAA rules com</w:t>
      </w:r>
      <w:r w:rsidR="008C4516" w:rsidRPr="00D417A6">
        <w:rPr>
          <w:rFonts w:ascii="Times New Roman" w:hAnsi="Times New Roman" w:cs="Times New Roman"/>
          <w:szCs w:val="24"/>
        </w:rPr>
        <w:t xml:space="preserve">es from HIPAA Enforcement Rule. Now there is an increased and </w:t>
      </w:r>
      <w:r w:rsidR="000D4C4A" w:rsidRPr="00D417A6">
        <w:rPr>
          <w:rFonts w:ascii="Times New Roman" w:hAnsi="Times New Roman" w:cs="Times New Roman"/>
          <w:szCs w:val="24"/>
        </w:rPr>
        <w:t xml:space="preserve">a four-level </w:t>
      </w:r>
      <w:r w:rsidR="008C4516" w:rsidRPr="00D417A6">
        <w:rPr>
          <w:rFonts w:ascii="Times New Roman" w:hAnsi="Times New Roman" w:cs="Times New Roman"/>
          <w:szCs w:val="24"/>
        </w:rPr>
        <w:t xml:space="preserve">tiered civil money penalty structure provided by the HITECH Act (78 FR </w:t>
      </w:r>
      <w:r w:rsidR="000D4C4A" w:rsidRPr="00D417A6">
        <w:rPr>
          <w:rFonts w:ascii="Times New Roman" w:hAnsi="Times New Roman" w:cs="Times New Roman"/>
          <w:szCs w:val="24"/>
        </w:rPr>
        <w:t xml:space="preserve">5567 (Jan. 25, 2013)). </w:t>
      </w:r>
      <w:r w:rsidR="00991E31" w:rsidRPr="00D417A6">
        <w:rPr>
          <w:rFonts w:ascii="Times New Roman" w:hAnsi="Times New Roman" w:cs="Times New Roman"/>
          <w:szCs w:val="24"/>
        </w:rPr>
        <w:t>Penalties are now assessed depending on the covered entity’s culpability; t</w:t>
      </w:r>
      <w:r w:rsidR="000D4C4A" w:rsidRPr="00D417A6">
        <w:rPr>
          <w:rFonts w:ascii="Times New Roman" w:hAnsi="Times New Roman" w:cs="Times New Roman"/>
          <w:szCs w:val="24"/>
        </w:rPr>
        <w:t>he minimum penalty amount for each violation has been increased</w:t>
      </w:r>
      <w:r w:rsidR="00991E31" w:rsidRPr="00D417A6">
        <w:rPr>
          <w:rFonts w:ascii="Times New Roman" w:hAnsi="Times New Roman" w:cs="Times New Roman"/>
          <w:szCs w:val="24"/>
        </w:rPr>
        <w:t xml:space="preserve"> to $100 for each HIPAA violation</w:t>
      </w:r>
      <w:r w:rsidR="000D4C4A" w:rsidRPr="00D417A6">
        <w:rPr>
          <w:rFonts w:ascii="Times New Roman" w:hAnsi="Times New Roman" w:cs="Times New Roman"/>
          <w:szCs w:val="24"/>
        </w:rPr>
        <w:t>, and the maximum penalty has been set at 1.5 million dollars annually.</w:t>
      </w:r>
      <w:r w:rsidR="00774930" w:rsidRPr="00D417A6">
        <w:rPr>
          <w:rFonts w:ascii="Times New Roman" w:hAnsi="Times New Roman" w:cs="Times New Roman"/>
          <w:szCs w:val="24"/>
        </w:rPr>
        <w:t xml:space="preserve"> (HITECH Act §§ 13410(d)(1)(C)(ii); (d)(3)(D) (42 U.S.C. §§ 17939(d)(1)(C)(ii); (d)(3)(D)))</w:t>
      </w:r>
      <w:r w:rsidR="000D4C4A" w:rsidRPr="00D417A6">
        <w:rPr>
          <w:rFonts w:ascii="Times New Roman" w:hAnsi="Times New Roman" w:cs="Times New Roman"/>
          <w:szCs w:val="24"/>
        </w:rPr>
        <w:t xml:space="preserve">  78 FR 5577 (Jan. 25, 2013). Additionally, covered entities may no longer avoid monetary penalties by using the affirmative defense that they did not know (and would not have known if they had been reasonably diligent) of the violation. </w:t>
      </w:r>
      <w:r w:rsidR="00774930" w:rsidRPr="00D417A6">
        <w:rPr>
          <w:rFonts w:ascii="Times New Roman" w:hAnsi="Times New Roman" w:cs="Times New Roman"/>
          <w:szCs w:val="24"/>
        </w:rPr>
        <w:t>(HITECH Act § 13410(d</w:t>
      </w:r>
      <w:proofErr w:type="gramStart"/>
      <w:r w:rsidR="00774930" w:rsidRPr="00D417A6">
        <w:rPr>
          <w:rFonts w:ascii="Times New Roman" w:hAnsi="Times New Roman" w:cs="Times New Roman"/>
          <w:szCs w:val="24"/>
        </w:rPr>
        <w:t>)(</w:t>
      </w:r>
      <w:proofErr w:type="gramEnd"/>
      <w:r w:rsidR="00774930" w:rsidRPr="00D417A6">
        <w:rPr>
          <w:rFonts w:ascii="Times New Roman" w:hAnsi="Times New Roman" w:cs="Times New Roman"/>
          <w:szCs w:val="24"/>
        </w:rPr>
        <w:t>4)). Previously, the Secretary could not impose a monetary penalty if the covered entity could demonstrate that it did not know and could not have known of the violation. 45 C.F.R. § 160.410(b</w:t>
      </w:r>
      <w:proofErr w:type="gramStart"/>
      <w:r w:rsidR="00774930" w:rsidRPr="00D417A6">
        <w:rPr>
          <w:rFonts w:ascii="Times New Roman" w:hAnsi="Times New Roman" w:cs="Times New Roman"/>
          <w:szCs w:val="24"/>
        </w:rPr>
        <w:t>)(</w:t>
      </w:r>
      <w:proofErr w:type="gramEnd"/>
      <w:r w:rsidR="00774930" w:rsidRPr="00D417A6">
        <w:rPr>
          <w:rFonts w:ascii="Times New Roman" w:hAnsi="Times New Roman" w:cs="Times New Roman"/>
          <w:szCs w:val="24"/>
        </w:rPr>
        <w:t>2).</w:t>
      </w:r>
    </w:p>
    <w:p w:rsidR="00774930" w:rsidRPr="00D417A6" w:rsidRDefault="00774930" w:rsidP="00774930">
      <w:pPr>
        <w:autoSpaceDE w:val="0"/>
        <w:autoSpaceDN w:val="0"/>
        <w:adjustRightInd w:val="0"/>
        <w:spacing w:line="240" w:lineRule="auto"/>
        <w:rPr>
          <w:rFonts w:ascii="Times New Roman" w:hAnsi="Times New Roman" w:cs="Times New Roman"/>
          <w:szCs w:val="24"/>
        </w:rPr>
      </w:pPr>
      <w:r w:rsidRPr="00D417A6">
        <w:rPr>
          <w:rFonts w:ascii="Times New Roman" w:hAnsi="Times New Roman" w:cs="Times New Roman"/>
          <w:szCs w:val="24"/>
        </w:rPr>
        <w:tab/>
        <w:t xml:space="preserve">State Attorney Generals may now bring civil actions on behalf of the residents of the state, if it can be shown that the residents were harmed by a covered entity’s non-compliance. </w:t>
      </w:r>
      <w:proofErr w:type="gramStart"/>
      <w:r w:rsidRPr="00D417A6">
        <w:rPr>
          <w:rFonts w:ascii="Times New Roman" w:hAnsi="Times New Roman" w:cs="Times New Roman"/>
          <w:szCs w:val="24"/>
        </w:rPr>
        <w:t>(HITECH Act § 13410(e) (42 U.S.C. § 17939(e))).</w:t>
      </w:r>
      <w:proofErr w:type="gramEnd"/>
      <w:r w:rsidR="00D84DDD" w:rsidRPr="00D417A6">
        <w:rPr>
          <w:rFonts w:ascii="Times New Roman" w:hAnsi="Times New Roman" w:cs="Times New Roman"/>
          <w:szCs w:val="24"/>
        </w:rPr>
        <w:t xml:space="preserve"> </w:t>
      </w:r>
    </w:p>
    <w:p w:rsidR="002F2EED" w:rsidRPr="00D417A6" w:rsidRDefault="002F2EED">
      <w:pPr>
        <w:rPr>
          <w:rFonts w:ascii="Times New Roman" w:hAnsi="Times New Roman" w:cs="Times New Roman"/>
          <w:szCs w:val="24"/>
        </w:rPr>
      </w:pPr>
      <w:r w:rsidRPr="00D417A6">
        <w:rPr>
          <w:rFonts w:ascii="Times New Roman" w:hAnsi="Times New Roman" w:cs="Times New Roman"/>
          <w:szCs w:val="24"/>
        </w:rPr>
        <w:tab/>
      </w:r>
      <w:r w:rsidR="009D3B3F" w:rsidRPr="00D417A6">
        <w:rPr>
          <w:rFonts w:ascii="Times New Roman" w:hAnsi="Times New Roman" w:cs="Times New Roman"/>
          <w:szCs w:val="24"/>
        </w:rPr>
        <w:t>Civil and Criminal enforcement of HIPAA rules – Health Information Technology for Economic and Clinical Health (HITECH act)</w:t>
      </w:r>
    </w:p>
    <w:p w:rsidR="009D3B3F" w:rsidRPr="00D417A6" w:rsidRDefault="009D3B3F">
      <w:pPr>
        <w:rPr>
          <w:rFonts w:ascii="Times New Roman" w:hAnsi="Times New Roman" w:cs="Times New Roman"/>
          <w:szCs w:val="24"/>
        </w:rPr>
      </w:pPr>
    </w:p>
    <w:p w:rsidR="009D3B3F" w:rsidRPr="00D417A6" w:rsidRDefault="009D3B3F">
      <w:pPr>
        <w:rPr>
          <w:rFonts w:ascii="Times New Roman" w:hAnsi="Times New Roman" w:cs="Times New Roman"/>
          <w:szCs w:val="24"/>
        </w:rPr>
      </w:pPr>
      <w:r w:rsidRPr="00D417A6">
        <w:rPr>
          <w:rFonts w:ascii="Times New Roman" w:hAnsi="Times New Roman" w:cs="Times New Roman"/>
          <w:szCs w:val="24"/>
          <w:u w:val="single"/>
        </w:rPr>
        <w:t>Breach notification from HITECH</w:t>
      </w:r>
      <w:r w:rsidRPr="00D417A6">
        <w:rPr>
          <w:rFonts w:ascii="Times New Roman" w:hAnsi="Times New Roman" w:cs="Times New Roman"/>
          <w:szCs w:val="24"/>
        </w:rPr>
        <w:t xml:space="preserve"> -&gt; Breach Notification Rule, implemented through interim final regulations that were effective on </w:t>
      </w:r>
      <w:r w:rsidR="00D84DDD" w:rsidRPr="00D417A6">
        <w:rPr>
          <w:rFonts w:ascii="Times New Roman" w:hAnsi="Times New Roman" w:cs="Times New Roman"/>
          <w:szCs w:val="24"/>
        </w:rPr>
        <w:t>Sept 23, 2013</w:t>
      </w:r>
      <w:r w:rsidRPr="00D417A6">
        <w:rPr>
          <w:rFonts w:ascii="Times New Roman" w:hAnsi="Times New Roman" w:cs="Times New Roman"/>
          <w:szCs w:val="24"/>
        </w:rPr>
        <w:t xml:space="preserve">. </w:t>
      </w:r>
      <w:proofErr w:type="gramStart"/>
      <w:r w:rsidRPr="00D417A6">
        <w:rPr>
          <w:rFonts w:ascii="Times New Roman" w:hAnsi="Times New Roman" w:cs="Times New Roman"/>
          <w:szCs w:val="24"/>
        </w:rPr>
        <w:t>Establishes standards for providing notification of breaches of unsecured PHI</w:t>
      </w:r>
      <w:r w:rsidR="005B2476" w:rsidRPr="00D417A6">
        <w:rPr>
          <w:rFonts w:ascii="Times New Roman" w:hAnsi="Times New Roman" w:cs="Times New Roman"/>
          <w:szCs w:val="24"/>
        </w:rPr>
        <w:t>.</w:t>
      </w:r>
      <w:proofErr w:type="gramEnd"/>
    </w:p>
    <w:p w:rsidR="009D3B3F" w:rsidRPr="00D417A6" w:rsidRDefault="005B2476" w:rsidP="00994C1D">
      <w:pPr>
        <w:spacing w:line="480" w:lineRule="auto"/>
        <w:rPr>
          <w:rFonts w:ascii="Times New Roman" w:hAnsi="Times New Roman" w:cs="Times New Roman"/>
          <w:szCs w:val="24"/>
        </w:rPr>
      </w:pPr>
      <w:r w:rsidRPr="00D417A6">
        <w:rPr>
          <w:rFonts w:ascii="Times New Roman" w:hAnsi="Times New Roman" w:cs="Times New Roman"/>
          <w:szCs w:val="24"/>
        </w:rPr>
        <w:tab/>
        <w:t>Covered En</w:t>
      </w:r>
      <w:r w:rsidR="00503ED9" w:rsidRPr="00D417A6">
        <w:rPr>
          <w:rFonts w:ascii="Times New Roman" w:hAnsi="Times New Roman" w:cs="Times New Roman"/>
          <w:szCs w:val="24"/>
        </w:rPr>
        <w:t>tities must now change their policies and procedures to reflect the definiti</w:t>
      </w:r>
      <w:r w:rsidR="00C7189E" w:rsidRPr="00D417A6">
        <w:rPr>
          <w:rFonts w:ascii="Times New Roman" w:hAnsi="Times New Roman" w:cs="Times New Roman"/>
          <w:szCs w:val="24"/>
        </w:rPr>
        <w:t>on of breach and explaining when patients will be notified of a breach.</w:t>
      </w:r>
    </w:p>
    <w:p w:rsidR="00B70E5C" w:rsidRPr="00D417A6" w:rsidRDefault="00CC2576" w:rsidP="00994C1D">
      <w:pPr>
        <w:pStyle w:val="Default"/>
      </w:pPr>
      <w:r w:rsidRPr="00D417A6">
        <w:tab/>
        <w:t xml:space="preserve">What a breach is </w:t>
      </w:r>
      <w:r w:rsidRPr="00D417A6">
        <w:sym w:font="Wingdings" w:char="F0E0"/>
      </w:r>
      <w:r w:rsidRPr="00D417A6">
        <w:t xml:space="preserve"> </w:t>
      </w:r>
      <w:r w:rsidR="00D84DDD" w:rsidRPr="00D417A6">
        <w:t>A breach can refer</w:t>
      </w:r>
      <w:r w:rsidR="00F06D3E" w:rsidRPr="00D417A6">
        <w:t xml:space="preserve"> to </w:t>
      </w:r>
      <w:r w:rsidRPr="00D417A6">
        <w:t>any acquisition, a</w:t>
      </w:r>
      <w:r w:rsidR="00994C1D" w:rsidRPr="00D417A6">
        <w:t>ccess, use, or disclosure of patient information</w:t>
      </w:r>
      <w:r w:rsidRPr="00D417A6">
        <w:t xml:space="preserve"> </w:t>
      </w:r>
      <w:r w:rsidR="00994C1D" w:rsidRPr="00D417A6">
        <w:t>(be it the patient’s name, address, SSN, or other identifying information (45 C.F.R § 164.514(b</w:t>
      </w:r>
      <w:proofErr w:type="gramStart"/>
      <w:r w:rsidR="00994C1D" w:rsidRPr="00D417A6">
        <w:t>)(</w:t>
      </w:r>
      <w:proofErr w:type="gramEnd"/>
      <w:r w:rsidR="00994C1D" w:rsidRPr="00D417A6">
        <w:t>2)) or health information (45 C.F.R § 160.103)</w:t>
      </w:r>
      <w:r w:rsidR="00075553" w:rsidRPr="00D417A6">
        <w:t>)</w:t>
      </w:r>
      <w:r w:rsidR="00994C1D" w:rsidRPr="00D417A6">
        <w:t xml:space="preserve"> </w:t>
      </w:r>
      <w:r w:rsidRPr="00D417A6">
        <w:t>in a manner not permitted under the Privacy Rule</w:t>
      </w:r>
      <w:r w:rsidR="00D84DDD" w:rsidRPr="00D417A6">
        <w:t xml:space="preserve">. </w:t>
      </w:r>
      <w:r w:rsidR="00994C1D" w:rsidRPr="00D417A6">
        <w:t xml:space="preserve">There is a presumption that any impermissible use or disclosure of such information constitutes a breach which </w:t>
      </w:r>
      <w:r w:rsidR="00D84DDD" w:rsidRPr="00D417A6">
        <w:t xml:space="preserve">requires the covered entity to notify the </w:t>
      </w:r>
      <w:r w:rsidR="00075553" w:rsidRPr="00D417A6">
        <w:t xml:space="preserve">proper parties. </w:t>
      </w:r>
      <w:proofErr w:type="gramStart"/>
      <w:r w:rsidR="00994C1D" w:rsidRPr="00D417A6">
        <w:t>(45 C.F.R. 164.402(1)).</w:t>
      </w:r>
      <w:proofErr w:type="gramEnd"/>
      <w:r w:rsidR="00994C1D" w:rsidRPr="00D417A6">
        <w:t xml:space="preserve"> </w:t>
      </w:r>
    </w:p>
    <w:p w:rsidR="00994C1D" w:rsidRPr="00D417A6" w:rsidRDefault="00F06D3E" w:rsidP="00994C1D">
      <w:pPr>
        <w:pStyle w:val="Default"/>
      </w:pPr>
      <w:r w:rsidRPr="00D417A6">
        <w:t xml:space="preserve">The covered entity may overcome this presumption </w:t>
      </w:r>
      <w:r w:rsidR="00446ACB" w:rsidRPr="00D417A6">
        <w:t xml:space="preserve">by demonstrating that </w:t>
      </w:r>
      <w:r w:rsidR="00B70E5C" w:rsidRPr="00D417A6">
        <w:t>there is “</w:t>
      </w:r>
      <w:r w:rsidR="00446ACB" w:rsidRPr="00D417A6">
        <w:t>a low probability</w:t>
      </w:r>
      <w:r w:rsidR="00B70E5C" w:rsidRPr="00D417A6">
        <w:t>” of risk that the information has been compromised</w:t>
      </w:r>
      <w:r w:rsidR="00446ACB" w:rsidRPr="00D417A6">
        <w:t xml:space="preserve">.  Patients must be notified of a breach, therefore, in every situation when PHI is acquired, accessed, used, or disclosed in a manner not permitted under the Privacy Rule, </w:t>
      </w:r>
      <w:r w:rsidR="00446ACB" w:rsidRPr="00D417A6">
        <w:rPr>
          <w:i/>
        </w:rPr>
        <w:t>except</w:t>
      </w:r>
      <w:r w:rsidR="00446ACB" w:rsidRPr="00D417A6">
        <w:t xml:space="preserve"> when a covered entity (or Business Associate, when applicable) demonstrates that there is a low </w:t>
      </w:r>
      <w:r w:rsidR="00B70E5C" w:rsidRPr="00D417A6">
        <w:t>probability</w:t>
      </w:r>
      <w:r w:rsidR="00446ACB" w:rsidRPr="00D417A6">
        <w:t xml:space="preserve"> that the PHI has been compromised</w:t>
      </w:r>
      <w:r w:rsidR="00B70E5C" w:rsidRPr="00D417A6">
        <w:t>,</w:t>
      </w:r>
      <w:r w:rsidR="00446ACB" w:rsidRPr="00D417A6">
        <w:t xml:space="preserve"> using an objective risk assessment, based upon at least the following four factors, unless regulatory exclusions appl</w:t>
      </w:r>
      <w:r w:rsidR="00850C0D" w:rsidRPr="00D417A6">
        <w:t>y</w:t>
      </w:r>
      <w:r w:rsidR="00994C1D" w:rsidRPr="00D417A6">
        <w:t xml:space="preserve"> </w:t>
      </w:r>
      <w:r w:rsidR="00850C0D" w:rsidRPr="00D417A6">
        <w:t>(see exclusions discussed in the next paragraph)</w:t>
      </w:r>
      <w:r w:rsidR="00446ACB" w:rsidRPr="00D417A6">
        <w:t>:</w:t>
      </w:r>
      <w:r w:rsidR="00994C1D" w:rsidRPr="00D417A6">
        <w:t xml:space="preserve"> (</w:t>
      </w:r>
    </w:p>
    <w:p w:rsidR="00994C1D" w:rsidRPr="00D417A6" w:rsidRDefault="00994C1D" w:rsidP="00994C1D">
      <w:pPr>
        <w:pStyle w:val="Default"/>
      </w:pPr>
      <w:r w:rsidRPr="00D417A6">
        <w:t xml:space="preserve"> </w:t>
      </w:r>
    </w:p>
    <w:p w:rsidR="00446ACB" w:rsidRPr="00D417A6" w:rsidRDefault="00994C1D" w:rsidP="00994C1D">
      <w:pPr>
        <w:pStyle w:val="Default"/>
      </w:pPr>
      <w:r w:rsidRPr="00D417A6">
        <w:t>(</w:t>
      </w:r>
      <w:r w:rsidRPr="00D417A6">
        <w:rPr>
          <w:i/>
          <w:iCs/>
        </w:rPr>
        <w:t xml:space="preserve">See </w:t>
      </w:r>
      <w:r w:rsidRPr="00D417A6">
        <w:t>definition of breach at 45 C.F.R. §§ 164.402(2</w:t>
      </w:r>
      <w:proofErr w:type="gramStart"/>
      <w:r w:rsidRPr="00D417A6">
        <w:t>)(</w:t>
      </w:r>
      <w:proofErr w:type="spellStart"/>
      <w:proofErr w:type="gramEnd"/>
      <w:r w:rsidRPr="00D417A6">
        <w:t>i</w:t>
      </w:r>
      <w:proofErr w:type="spellEnd"/>
      <w:r w:rsidRPr="00D417A6">
        <w:t>)-(iv)). )</w:t>
      </w:r>
    </w:p>
    <w:p w:rsidR="00446ACB" w:rsidRPr="00D417A6" w:rsidRDefault="00446ACB" w:rsidP="00994C1D">
      <w:pPr>
        <w:pStyle w:val="ListParagraph"/>
        <w:numPr>
          <w:ilvl w:val="0"/>
          <w:numId w:val="1"/>
        </w:numPr>
        <w:spacing w:line="480" w:lineRule="auto"/>
        <w:rPr>
          <w:rFonts w:ascii="Times New Roman" w:hAnsi="Times New Roman" w:cs="Times New Roman"/>
          <w:szCs w:val="24"/>
        </w:rPr>
      </w:pPr>
      <w:r w:rsidRPr="00D417A6">
        <w:rPr>
          <w:rFonts w:ascii="Times New Roman" w:hAnsi="Times New Roman" w:cs="Times New Roman"/>
          <w:szCs w:val="24"/>
        </w:rPr>
        <w:lastRenderedPageBreak/>
        <w:t>“the nature and extent of the PHI involved, including the types of identifiers and the likelihood of re-identification,</w:t>
      </w:r>
    </w:p>
    <w:p w:rsidR="00446ACB" w:rsidRPr="00D417A6" w:rsidRDefault="00446ACB" w:rsidP="00446ACB">
      <w:pPr>
        <w:pStyle w:val="ListParagraph"/>
        <w:numPr>
          <w:ilvl w:val="0"/>
          <w:numId w:val="1"/>
        </w:numPr>
        <w:rPr>
          <w:rFonts w:ascii="Times New Roman" w:hAnsi="Times New Roman" w:cs="Times New Roman"/>
          <w:szCs w:val="24"/>
        </w:rPr>
      </w:pPr>
      <w:r w:rsidRPr="00D417A6">
        <w:rPr>
          <w:rFonts w:ascii="Times New Roman" w:hAnsi="Times New Roman" w:cs="Times New Roman"/>
          <w:szCs w:val="24"/>
        </w:rPr>
        <w:t>The unauthorized person who used the PHI or to whom the disclosure was made,</w:t>
      </w:r>
    </w:p>
    <w:p w:rsidR="00850C0D" w:rsidRPr="00D417A6" w:rsidRDefault="00446ACB" w:rsidP="00446ACB">
      <w:pPr>
        <w:pStyle w:val="ListParagraph"/>
        <w:numPr>
          <w:ilvl w:val="0"/>
          <w:numId w:val="1"/>
        </w:numPr>
        <w:rPr>
          <w:rFonts w:ascii="Times New Roman" w:hAnsi="Times New Roman" w:cs="Times New Roman"/>
          <w:szCs w:val="24"/>
        </w:rPr>
      </w:pPr>
      <w:r w:rsidRPr="00D417A6">
        <w:rPr>
          <w:rFonts w:ascii="Times New Roman" w:hAnsi="Times New Roman" w:cs="Times New Roman"/>
          <w:szCs w:val="24"/>
        </w:rPr>
        <w:t xml:space="preserve">Whether the PHI </w:t>
      </w:r>
      <w:r w:rsidR="00850C0D" w:rsidRPr="00D417A6">
        <w:rPr>
          <w:rFonts w:ascii="Times New Roman" w:hAnsi="Times New Roman" w:cs="Times New Roman"/>
          <w:szCs w:val="24"/>
        </w:rPr>
        <w:t>was actually acquired or viewed, and</w:t>
      </w:r>
    </w:p>
    <w:p w:rsidR="00850C0D" w:rsidRPr="00D417A6" w:rsidRDefault="00850C0D" w:rsidP="00446ACB">
      <w:pPr>
        <w:pStyle w:val="ListParagraph"/>
        <w:numPr>
          <w:ilvl w:val="0"/>
          <w:numId w:val="1"/>
        </w:numPr>
        <w:rPr>
          <w:rFonts w:ascii="Times New Roman" w:hAnsi="Times New Roman" w:cs="Times New Roman"/>
          <w:szCs w:val="24"/>
        </w:rPr>
      </w:pPr>
      <w:r w:rsidRPr="00D417A6">
        <w:rPr>
          <w:rFonts w:ascii="Times New Roman" w:hAnsi="Times New Roman" w:cs="Times New Roman"/>
          <w:szCs w:val="24"/>
        </w:rPr>
        <w:t>The extent to which the risk to the PHI has been mitigated.</w:t>
      </w:r>
    </w:p>
    <w:p w:rsidR="00CC2576" w:rsidRPr="00D417A6" w:rsidRDefault="00850C0D" w:rsidP="00850C0D">
      <w:pPr>
        <w:ind w:left="720"/>
        <w:rPr>
          <w:rFonts w:ascii="Times New Roman" w:hAnsi="Times New Roman" w:cs="Times New Roman"/>
          <w:szCs w:val="24"/>
        </w:rPr>
      </w:pPr>
      <w:r w:rsidRPr="00D417A6">
        <w:rPr>
          <w:rFonts w:ascii="Times New Roman" w:hAnsi="Times New Roman" w:cs="Times New Roman"/>
          <w:szCs w:val="24"/>
        </w:rPr>
        <w:t>The covered entity should document and retain the risk assessment in which they engage, and should note additional factors they considered when assessing the risk.</w:t>
      </w:r>
      <w:r w:rsidR="00446ACB" w:rsidRPr="00D417A6">
        <w:rPr>
          <w:rFonts w:ascii="Times New Roman" w:hAnsi="Times New Roman" w:cs="Times New Roman"/>
          <w:szCs w:val="24"/>
        </w:rPr>
        <w:t xml:space="preserve"> </w:t>
      </w:r>
      <w:r w:rsidR="00F06D3E" w:rsidRPr="00D417A6">
        <w:rPr>
          <w:rFonts w:ascii="Times New Roman" w:hAnsi="Times New Roman" w:cs="Times New Roman"/>
          <w:szCs w:val="24"/>
        </w:rPr>
        <w:t xml:space="preserve"> </w:t>
      </w:r>
    </w:p>
    <w:p w:rsidR="00994C1D" w:rsidRPr="00D417A6" w:rsidRDefault="00B72D8F" w:rsidP="00994C1D">
      <w:pPr>
        <w:rPr>
          <w:rFonts w:ascii="Times New Roman" w:hAnsi="Times New Roman" w:cs="Times New Roman"/>
          <w:szCs w:val="24"/>
        </w:rPr>
      </w:pPr>
      <w:r w:rsidRPr="00D417A6">
        <w:rPr>
          <w:rFonts w:ascii="Times New Roman" w:hAnsi="Times New Roman" w:cs="Times New Roman"/>
          <w:szCs w:val="24"/>
        </w:rPr>
        <w:t xml:space="preserve">Exclusions; what </w:t>
      </w:r>
      <w:r w:rsidRPr="00D417A6">
        <w:rPr>
          <w:rFonts w:ascii="Times New Roman" w:hAnsi="Times New Roman" w:cs="Times New Roman"/>
          <w:i/>
          <w:szCs w:val="24"/>
        </w:rPr>
        <w:t>isn’t</w:t>
      </w:r>
      <w:r w:rsidRPr="00D417A6">
        <w:rPr>
          <w:rFonts w:ascii="Times New Roman" w:hAnsi="Times New Roman" w:cs="Times New Roman"/>
          <w:szCs w:val="24"/>
        </w:rPr>
        <w:t xml:space="preserve"> considered a breach: </w:t>
      </w:r>
      <w:r w:rsidR="001E2C42" w:rsidRPr="00D417A6">
        <w:rPr>
          <w:rFonts w:ascii="Times New Roman" w:hAnsi="Times New Roman" w:cs="Times New Roman"/>
          <w:szCs w:val="24"/>
        </w:rPr>
        <w:t xml:space="preserve">There are three exceptions to the general rule: </w:t>
      </w:r>
    </w:p>
    <w:p w:rsidR="00994C1D" w:rsidRPr="00D417A6" w:rsidRDefault="00994C1D" w:rsidP="00994C1D">
      <w:pPr>
        <w:pStyle w:val="Default"/>
      </w:pPr>
      <w:r w:rsidRPr="00D417A6">
        <w:t xml:space="preserve"> </w:t>
      </w:r>
    </w:p>
    <w:p w:rsidR="00994C1D" w:rsidRPr="00D417A6" w:rsidRDefault="00994C1D" w:rsidP="00994C1D">
      <w:pPr>
        <w:pStyle w:val="Default"/>
        <w:numPr>
          <w:ilvl w:val="0"/>
          <w:numId w:val="3"/>
        </w:numPr>
        <w:spacing w:after="127"/>
      </w:pPr>
      <w:r w:rsidRPr="00D417A6">
        <w:t>The unintentional use of the information by member of the covered entity’s workforce (</w:t>
      </w:r>
      <w:r w:rsidRPr="00D417A6">
        <w:rPr>
          <w:i/>
          <w:iCs/>
        </w:rPr>
        <w:t xml:space="preserve">See </w:t>
      </w:r>
      <w:r w:rsidRPr="00D417A6">
        <w:t>definition of breach at 45 C.F.R. 164.402(1</w:t>
      </w:r>
      <w:proofErr w:type="gramStart"/>
      <w:r w:rsidRPr="00D417A6">
        <w:t>)(</w:t>
      </w:r>
      <w:proofErr w:type="spellStart"/>
      <w:proofErr w:type="gramEnd"/>
      <w:r w:rsidRPr="00D417A6">
        <w:t>i</w:t>
      </w:r>
      <w:proofErr w:type="spellEnd"/>
      <w:r w:rsidRPr="00D417A6">
        <w:t xml:space="preserve">)). </w:t>
      </w:r>
    </w:p>
    <w:p w:rsidR="00994C1D" w:rsidRPr="00D417A6" w:rsidRDefault="00994C1D" w:rsidP="00994C1D">
      <w:pPr>
        <w:pStyle w:val="Default"/>
        <w:numPr>
          <w:ilvl w:val="0"/>
          <w:numId w:val="3"/>
        </w:numPr>
        <w:spacing w:after="127"/>
      </w:pPr>
      <w:r w:rsidRPr="00D417A6">
        <w:t>Inadvertent disclosure by the covered entity to authorized person (</w:t>
      </w:r>
      <w:r w:rsidRPr="00D417A6">
        <w:rPr>
          <w:i/>
          <w:iCs/>
        </w:rPr>
        <w:t xml:space="preserve">See </w:t>
      </w:r>
      <w:r w:rsidRPr="00D417A6">
        <w:t>definition of breach at 45 C.F.R. 164.402(1</w:t>
      </w:r>
      <w:proofErr w:type="gramStart"/>
      <w:r w:rsidRPr="00D417A6">
        <w:t>)(</w:t>
      </w:r>
      <w:proofErr w:type="gramEnd"/>
      <w:r w:rsidRPr="00D417A6">
        <w:t xml:space="preserve">ii)). </w:t>
      </w:r>
    </w:p>
    <w:p w:rsidR="00994C1D" w:rsidRPr="00D417A6" w:rsidRDefault="00994C1D" w:rsidP="00994C1D">
      <w:pPr>
        <w:pStyle w:val="Default"/>
        <w:numPr>
          <w:ilvl w:val="0"/>
          <w:numId w:val="3"/>
        </w:numPr>
      </w:pPr>
      <w:r w:rsidRPr="00D417A6">
        <w:t>When the recipient does not retain the protected health information (</w:t>
      </w:r>
      <w:r w:rsidRPr="00D417A6">
        <w:rPr>
          <w:i/>
          <w:iCs/>
        </w:rPr>
        <w:t xml:space="preserve">See </w:t>
      </w:r>
      <w:r w:rsidRPr="00D417A6">
        <w:t>definition of breach at 45 C.F.R. 164.402(1</w:t>
      </w:r>
      <w:proofErr w:type="gramStart"/>
      <w:r w:rsidRPr="00D417A6">
        <w:t>)(</w:t>
      </w:r>
      <w:proofErr w:type="gramEnd"/>
      <w:r w:rsidRPr="00D417A6">
        <w:t xml:space="preserve">iii)). </w:t>
      </w:r>
    </w:p>
    <w:p w:rsidR="001E2C42" w:rsidRPr="00D417A6" w:rsidRDefault="001E2C42" w:rsidP="001E2C42">
      <w:pPr>
        <w:rPr>
          <w:rFonts w:ascii="Times New Roman" w:hAnsi="Times New Roman" w:cs="Times New Roman"/>
          <w:szCs w:val="24"/>
        </w:rPr>
      </w:pPr>
      <w:r w:rsidRPr="00D417A6">
        <w:rPr>
          <w:rFonts w:ascii="Times New Roman" w:hAnsi="Times New Roman" w:cs="Times New Roman"/>
          <w:szCs w:val="24"/>
        </w:rPr>
        <w:t>It should be noted that the final rule has removed a prior exception that existed for the disclosure of data, so long as the disclosed information did not include any dates of birth or zip codes.</w:t>
      </w:r>
      <w:r w:rsidR="00B11846" w:rsidRPr="00D417A6">
        <w:rPr>
          <w:rFonts w:ascii="Times New Roman" w:hAnsi="Times New Roman" w:cs="Times New Roman"/>
          <w:szCs w:val="24"/>
        </w:rPr>
        <w:t xml:space="preserve"> Now, a covered entity should always perform a risk assessment after any improper use or disclosure of information to determine whether a breach notification should be given. </w:t>
      </w:r>
    </w:p>
    <w:p w:rsidR="00B11846" w:rsidRPr="00D417A6" w:rsidRDefault="00B11846" w:rsidP="001E2C42">
      <w:pPr>
        <w:rPr>
          <w:rFonts w:ascii="Times New Roman" w:hAnsi="Times New Roman" w:cs="Times New Roman"/>
          <w:szCs w:val="24"/>
        </w:rPr>
      </w:pPr>
    </w:p>
    <w:p w:rsidR="005D43FD" w:rsidRPr="00D417A6" w:rsidRDefault="00B11846" w:rsidP="001E2C42">
      <w:pPr>
        <w:rPr>
          <w:rFonts w:ascii="Times New Roman" w:hAnsi="Times New Roman" w:cs="Times New Roman"/>
          <w:szCs w:val="24"/>
        </w:rPr>
      </w:pPr>
      <w:r w:rsidRPr="00D417A6">
        <w:rPr>
          <w:rFonts w:ascii="Times New Roman" w:hAnsi="Times New Roman" w:cs="Times New Roman"/>
          <w:szCs w:val="24"/>
        </w:rPr>
        <w:t xml:space="preserve">Notification: When a covered entity discovers a breach, it is required to notify the affected individuals, HHS, and – if appropriate – the media. </w:t>
      </w:r>
      <w:r w:rsidR="005D43FD" w:rsidRPr="00D417A6">
        <w:rPr>
          <w:rFonts w:ascii="Times New Roman" w:hAnsi="Times New Roman" w:cs="Times New Roman"/>
          <w:szCs w:val="24"/>
        </w:rPr>
        <w:t xml:space="preserve">A covered entity needs to keep a record of discovered breaches affecting less than 500 patients, which is submitted each year to HHS. It should be noted that this is a change from what the law required before – prior to </w:t>
      </w:r>
      <w:r w:rsidR="005D43FD" w:rsidRPr="00D417A6">
        <w:rPr>
          <w:rFonts w:ascii="Times New Roman" w:hAnsi="Times New Roman" w:cs="Times New Roman"/>
          <w:szCs w:val="24"/>
          <w:highlight w:val="yellow"/>
        </w:rPr>
        <w:t xml:space="preserve">the Final Rule, the log was submitted within 60 days after the end of the calendar year for breaches that occurred during the immediately preceding calendar year, but now the log is submitted within 60 days after the end of the calendar year for breaches that were discovered during the </w:t>
      </w:r>
      <w:r w:rsidR="00A42A25" w:rsidRPr="00D417A6">
        <w:rPr>
          <w:rFonts w:ascii="Times New Roman" w:hAnsi="Times New Roman" w:cs="Times New Roman"/>
          <w:szCs w:val="24"/>
          <w:highlight w:val="yellow"/>
        </w:rPr>
        <w:t>immediately</w:t>
      </w:r>
      <w:r w:rsidR="005D43FD" w:rsidRPr="00D417A6">
        <w:rPr>
          <w:rFonts w:ascii="Times New Roman" w:hAnsi="Times New Roman" w:cs="Times New Roman"/>
          <w:szCs w:val="24"/>
          <w:highlight w:val="yellow"/>
        </w:rPr>
        <w:t xml:space="preserve"> preceding calendar year.</w:t>
      </w:r>
      <w:r w:rsidR="005D43FD" w:rsidRPr="00D417A6">
        <w:rPr>
          <w:rFonts w:ascii="Times New Roman" w:hAnsi="Times New Roman" w:cs="Times New Roman"/>
          <w:szCs w:val="24"/>
        </w:rPr>
        <w:t xml:space="preserve"> </w:t>
      </w:r>
    </w:p>
    <w:p w:rsidR="005D43FD" w:rsidRPr="00D417A6" w:rsidRDefault="005D43FD" w:rsidP="00CF72CE">
      <w:pPr>
        <w:rPr>
          <w:rFonts w:ascii="Times New Roman" w:hAnsi="Times New Roman" w:cs="Times New Roman"/>
          <w:szCs w:val="24"/>
        </w:rPr>
      </w:pPr>
      <w:r w:rsidRPr="00D417A6">
        <w:rPr>
          <w:rFonts w:ascii="Times New Roman" w:hAnsi="Times New Roman" w:cs="Times New Roman"/>
          <w:szCs w:val="24"/>
        </w:rPr>
        <w:t xml:space="preserve">The covered entity is ultimately responsible for notifications, regardless of any business associate involvement or fault. Business associates are responsible </w:t>
      </w:r>
      <w:r w:rsidR="00174BE7" w:rsidRPr="00D417A6">
        <w:rPr>
          <w:rFonts w:ascii="Times New Roman" w:hAnsi="Times New Roman" w:cs="Times New Roman"/>
          <w:szCs w:val="24"/>
        </w:rPr>
        <w:t xml:space="preserve">only </w:t>
      </w:r>
      <w:r w:rsidRPr="00D417A6">
        <w:rPr>
          <w:rFonts w:ascii="Times New Roman" w:hAnsi="Times New Roman" w:cs="Times New Roman"/>
          <w:szCs w:val="24"/>
        </w:rPr>
        <w:t>for informing the covered entity of any discovered breach.</w:t>
      </w:r>
      <w:r w:rsidR="00174BE7" w:rsidRPr="00D417A6">
        <w:rPr>
          <w:rFonts w:ascii="Times New Roman" w:hAnsi="Times New Roman" w:cs="Times New Roman"/>
          <w:szCs w:val="24"/>
        </w:rPr>
        <w:t xml:space="preserve"> Media outlets are not required to print or broadcast these notifications, and covered entities are not required to pay for notifications to be printed or </w:t>
      </w:r>
      <w:r w:rsidR="00174BE7" w:rsidRPr="00D417A6">
        <w:rPr>
          <w:rFonts w:ascii="Times New Roman" w:hAnsi="Times New Roman" w:cs="Times New Roman"/>
          <w:szCs w:val="24"/>
        </w:rPr>
        <w:lastRenderedPageBreak/>
        <w:t>broadcasted.</w:t>
      </w:r>
      <w:r w:rsidR="00CF72CE" w:rsidRPr="00D417A6">
        <w:rPr>
          <w:rFonts w:ascii="Times New Roman" w:hAnsi="Times New Roman" w:cs="Times New Roman"/>
          <w:szCs w:val="24"/>
        </w:rPr>
        <w:t xml:space="preserve"> Covered Entities are, however, required to deliver notice, such as a press release, directly to the prominent media outlets being notified. It will not fulfill the notice requirements to simply post a press release to the covered entity’s website. Finally, in the event that a notice to a patient is returned to the covered entity as undeliverable, </w:t>
      </w:r>
      <w:r w:rsidR="00F17D11" w:rsidRPr="00D417A6">
        <w:rPr>
          <w:rFonts w:ascii="Times New Roman" w:hAnsi="Times New Roman" w:cs="Times New Roman"/>
          <w:szCs w:val="24"/>
        </w:rPr>
        <w:t xml:space="preserve">either direct written notice using updated contact information or substitute notice (consistent with regulatory guidelines) must be given within the original 60-day deadline. </w:t>
      </w:r>
      <w:r w:rsidR="00F27E45" w:rsidRPr="00D417A6">
        <w:rPr>
          <w:rFonts w:ascii="Times New Roman" w:hAnsi="Times New Roman" w:cs="Times New Roman"/>
          <w:szCs w:val="24"/>
        </w:rPr>
        <w:t xml:space="preserve">§ </w:t>
      </w:r>
    </w:p>
    <w:p w:rsidR="00F17D11" w:rsidRPr="00D417A6" w:rsidRDefault="00F17D11" w:rsidP="00CF72CE">
      <w:pPr>
        <w:rPr>
          <w:rFonts w:ascii="Times New Roman" w:hAnsi="Times New Roman" w:cs="Times New Roman"/>
          <w:szCs w:val="24"/>
        </w:rPr>
      </w:pPr>
    </w:p>
    <w:p w:rsidR="00F17D11" w:rsidRPr="00D417A6" w:rsidRDefault="00F17D11" w:rsidP="00CF72CE">
      <w:pPr>
        <w:rPr>
          <w:rFonts w:ascii="Times New Roman" w:hAnsi="Times New Roman" w:cs="Times New Roman"/>
          <w:szCs w:val="24"/>
        </w:rPr>
      </w:pPr>
      <w:r w:rsidRPr="00D417A6">
        <w:rPr>
          <w:rFonts w:ascii="Times New Roman" w:hAnsi="Times New Roman" w:cs="Times New Roman"/>
          <w:szCs w:val="24"/>
        </w:rPr>
        <w:t>BUSINESS ASSOCIATES</w:t>
      </w:r>
    </w:p>
    <w:p w:rsidR="00F17D11" w:rsidRPr="00D417A6" w:rsidRDefault="00F17D11" w:rsidP="00CF72CE">
      <w:pPr>
        <w:rPr>
          <w:rFonts w:ascii="Times New Roman" w:hAnsi="Times New Roman" w:cs="Times New Roman"/>
          <w:szCs w:val="24"/>
        </w:rPr>
      </w:pPr>
      <w:r w:rsidRPr="00D417A6">
        <w:rPr>
          <w:rFonts w:ascii="Times New Roman" w:hAnsi="Times New Roman" w:cs="Times New Roman"/>
          <w:szCs w:val="24"/>
        </w:rPr>
        <w:t xml:space="preserve">What is a business associate? The new </w:t>
      </w:r>
      <w:proofErr w:type="gramStart"/>
      <w:r w:rsidRPr="00D417A6">
        <w:rPr>
          <w:rFonts w:ascii="Times New Roman" w:hAnsi="Times New Roman" w:cs="Times New Roman"/>
          <w:szCs w:val="24"/>
        </w:rPr>
        <w:t>changes have expanded the kinds of entities that are considered business associates, and makes</w:t>
      </w:r>
      <w:proofErr w:type="gramEnd"/>
      <w:r w:rsidRPr="00D417A6">
        <w:rPr>
          <w:rFonts w:ascii="Times New Roman" w:hAnsi="Times New Roman" w:cs="Times New Roman"/>
          <w:szCs w:val="24"/>
        </w:rPr>
        <w:t xml:space="preserve"> business associates directly liable for certain HIPAA violations.</w:t>
      </w:r>
      <w:r w:rsidR="00C7189E" w:rsidRPr="00D417A6">
        <w:rPr>
          <w:rFonts w:ascii="Times New Roman" w:hAnsi="Times New Roman" w:cs="Times New Roman"/>
          <w:szCs w:val="24"/>
        </w:rPr>
        <w:t xml:space="preserve"> Any person or entity (oth</w:t>
      </w:r>
      <w:r w:rsidRPr="00D417A6">
        <w:rPr>
          <w:rFonts w:ascii="Times New Roman" w:hAnsi="Times New Roman" w:cs="Times New Roman"/>
          <w:szCs w:val="24"/>
        </w:rPr>
        <w:t>er than a member of</w:t>
      </w:r>
      <w:r w:rsidR="00C7189E" w:rsidRPr="00D417A6">
        <w:rPr>
          <w:rFonts w:ascii="Times New Roman" w:hAnsi="Times New Roman" w:cs="Times New Roman"/>
          <w:szCs w:val="24"/>
        </w:rPr>
        <w:t xml:space="preserve"> the covered entity’s workforce)</w:t>
      </w:r>
      <w:r w:rsidRPr="00D417A6">
        <w:rPr>
          <w:rFonts w:ascii="Times New Roman" w:hAnsi="Times New Roman" w:cs="Times New Roman"/>
          <w:szCs w:val="24"/>
        </w:rPr>
        <w:t xml:space="preserve"> </w:t>
      </w:r>
      <w:proofErr w:type="gramStart"/>
      <w:r w:rsidR="00C7189E" w:rsidRPr="00D417A6">
        <w:rPr>
          <w:rFonts w:ascii="Times New Roman" w:hAnsi="Times New Roman" w:cs="Times New Roman"/>
          <w:szCs w:val="24"/>
        </w:rPr>
        <w:t>who</w:t>
      </w:r>
      <w:proofErr w:type="gramEnd"/>
      <w:r w:rsidR="00C7189E" w:rsidRPr="00D417A6">
        <w:rPr>
          <w:rFonts w:ascii="Times New Roman" w:hAnsi="Times New Roman" w:cs="Times New Roman"/>
          <w:szCs w:val="24"/>
        </w:rPr>
        <w:t xml:space="preserve"> </w:t>
      </w:r>
      <w:r w:rsidRPr="00D417A6">
        <w:rPr>
          <w:rFonts w:ascii="Times New Roman" w:hAnsi="Times New Roman" w:cs="Times New Roman"/>
          <w:szCs w:val="24"/>
        </w:rPr>
        <w:t xml:space="preserve">creates, receives, maintains, or transmits PHI on behalf of the CE is considered a business associate. The new changes have added the word “maintains” to the definition, so that entities that never or infrequently view the PHI they maintain are still responsible for its security. </w:t>
      </w:r>
      <w:r w:rsidR="00C7189E" w:rsidRPr="00D417A6">
        <w:rPr>
          <w:rFonts w:ascii="Times New Roman" w:hAnsi="Times New Roman" w:cs="Times New Roman"/>
          <w:szCs w:val="24"/>
        </w:rPr>
        <w:t xml:space="preserve">This will include subcontractors. </w:t>
      </w:r>
      <w:r w:rsidRPr="00D417A6">
        <w:rPr>
          <w:rFonts w:ascii="Times New Roman" w:hAnsi="Times New Roman" w:cs="Times New Roman"/>
          <w:szCs w:val="24"/>
        </w:rPr>
        <w:t xml:space="preserve">Covered entities are not required to enter into Business Associate Agreements with subcontractors, but the business associate </w:t>
      </w:r>
      <w:r w:rsidRPr="00D417A6">
        <w:rPr>
          <w:rFonts w:ascii="Times New Roman" w:hAnsi="Times New Roman" w:cs="Times New Roman"/>
          <w:i/>
          <w:szCs w:val="24"/>
        </w:rPr>
        <w:t xml:space="preserve">is </w:t>
      </w:r>
      <w:r w:rsidRPr="00D417A6">
        <w:rPr>
          <w:rFonts w:ascii="Times New Roman" w:hAnsi="Times New Roman" w:cs="Times New Roman"/>
          <w:szCs w:val="24"/>
        </w:rPr>
        <w:t xml:space="preserve">required to do so. </w:t>
      </w:r>
    </w:p>
    <w:p w:rsidR="005D43FD" w:rsidRPr="00D417A6" w:rsidRDefault="005D43FD" w:rsidP="001E2C42">
      <w:pPr>
        <w:rPr>
          <w:rFonts w:ascii="Times New Roman" w:hAnsi="Times New Roman" w:cs="Times New Roman"/>
          <w:szCs w:val="24"/>
        </w:rPr>
      </w:pPr>
    </w:p>
    <w:p w:rsidR="005D43FD" w:rsidRPr="00D417A6" w:rsidRDefault="005D43FD" w:rsidP="001E2C42">
      <w:pPr>
        <w:rPr>
          <w:rFonts w:ascii="Times New Roman" w:hAnsi="Times New Roman" w:cs="Times New Roman"/>
          <w:szCs w:val="24"/>
        </w:rPr>
      </w:pPr>
    </w:p>
    <w:p w:rsidR="00B11846" w:rsidRPr="00D417A6" w:rsidRDefault="00B11846" w:rsidP="001E2C42">
      <w:pPr>
        <w:rPr>
          <w:rFonts w:ascii="Times New Roman" w:hAnsi="Times New Roman" w:cs="Times New Roman"/>
          <w:szCs w:val="24"/>
        </w:rPr>
      </w:pPr>
    </w:p>
    <w:p w:rsidR="009D3B3F" w:rsidRPr="00D417A6" w:rsidRDefault="009D3B3F">
      <w:pPr>
        <w:rPr>
          <w:rFonts w:ascii="Times New Roman" w:hAnsi="Times New Roman" w:cs="Times New Roman"/>
          <w:szCs w:val="24"/>
        </w:rPr>
      </w:pPr>
      <w:r w:rsidRPr="00D417A6">
        <w:rPr>
          <w:rFonts w:ascii="Times New Roman" w:hAnsi="Times New Roman" w:cs="Times New Roman"/>
          <w:szCs w:val="24"/>
        </w:rPr>
        <w:t xml:space="preserve">Genetic Information Nondiscrimination Act of 2008 (GINA) – People have until </w:t>
      </w:r>
      <w:proofErr w:type="spellStart"/>
      <w:r w:rsidRPr="00D417A6">
        <w:rPr>
          <w:rFonts w:ascii="Times New Roman" w:hAnsi="Times New Roman" w:cs="Times New Roman"/>
          <w:szCs w:val="24"/>
        </w:rPr>
        <w:t>sept</w:t>
      </w:r>
      <w:proofErr w:type="spellEnd"/>
      <w:r w:rsidRPr="00D417A6">
        <w:rPr>
          <w:rFonts w:ascii="Times New Roman" w:hAnsi="Times New Roman" w:cs="Times New Roman"/>
          <w:szCs w:val="24"/>
        </w:rPr>
        <w:t xml:space="preserve"> 23</w:t>
      </w:r>
      <w:r w:rsidRPr="00D417A6">
        <w:rPr>
          <w:rFonts w:ascii="Times New Roman" w:hAnsi="Times New Roman" w:cs="Times New Roman"/>
          <w:szCs w:val="24"/>
          <w:vertAlign w:val="superscript"/>
        </w:rPr>
        <w:t>rd</w:t>
      </w:r>
      <w:r w:rsidRPr="00D417A6">
        <w:rPr>
          <w:rFonts w:ascii="Times New Roman" w:hAnsi="Times New Roman" w:cs="Times New Roman"/>
          <w:szCs w:val="24"/>
        </w:rPr>
        <w:t xml:space="preserve">, 2013 to comply. </w:t>
      </w:r>
      <w:proofErr w:type="gramStart"/>
      <w:r w:rsidRPr="00D417A6">
        <w:rPr>
          <w:rFonts w:ascii="Times New Roman" w:hAnsi="Times New Roman" w:cs="Times New Roman"/>
          <w:szCs w:val="24"/>
        </w:rPr>
        <w:t>Strengthens HIPAA privacy protections for genetic information.</w:t>
      </w:r>
      <w:proofErr w:type="gramEnd"/>
    </w:p>
    <w:p w:rsidR="009D3B3F" w:rsidRPr="00D417A6" w:rsidRDefault="009D3B3F">
      <w:pPr>
        <w:rPr>
          <w:rFonts w:ascii="Times New Roman" w:hAnsi="Times New Roman" w:cs="Times New Roman"/>
          <w:szCs w:val="24"/>
        </w:rPr>
      </w:pPr>
    </w:p>
    <w:p w:rsidR="009D3B3F" w:rsidRPr="00D417A6" w:rsidRDefault="009D3B3F">
      <w:pPr>
        <w:rPr>
          <w:rFonts w:ascii="Times New Roman" w:hAnsi="Times New Roman" w:cs="Times New Roman"/>
          <w:szCs w:val="24"/>
        </w:rPr>
      </w:pPr>
    </w:p>
    <w:p w:rsidR="009D3B3F" w:rsidRPr="00D417A6" w:rsidRDefault="009D3B3F">
      <w:pPr>
        <w:rPr>
          <w:rFonts w:ascii="Times New Roman" w:hAnsi="Times New Roman" w:cs="Times New Roman"/>
          <w:szCs w:val="24"/>
        </w:rPr>
      </w:pPr>
    </w:p>
    <w:p w:rsidR="002F2EED" w:rsidRPr="00D417A6" w:rsidRDefault="002F2EED">
      <w:pPr>
        <w:rPr>
          <w:rFonts w:ascii="Times New Roman" w:hAnsi="Times New Roman" w:cs="Times New Roman"/>
          <w:szCs w:val="24"/>
        </w:rPr>
      </w:pPr>
    </w:p>
    <w:sectPr w:rsidR="002F2EED" w:rsidRPr="00D417A6" w:rsidSect="007C73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17A6" w:rsidRDefault="00D417A6" w:rsidP="00D417A6">
      <w:pPr>
        <w:spacing w:line="240" w:lineRule="auto"/>
      </w:pPr>
      <w:r>
        <w:separator/>
      </w:r>
    </w:p>
  </w:endnote>
  <w:endnote w:type="continuationSeparator" w:id="0">
    <w:p w:rsidR="00D417A6" w:rsidRDefault="00D417A6" w:rsidP="00D417A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sto MT">
    <w:panose1 w:val="02040603050505030304"/>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17A6" w:rsidRDefault="00D417A6" w:rsidP="00D417A6">
      <w:pPr>
        <w:spacing w:line="240" w:lineRule="auto"/>
      </w:pPr>
      <w:r>
        <w:separator/>
      </w:r>
    </w:p>
  </w:footnote>
  <w:footnote w:type="continuationSeparator" w:id="0">
    <w:p w:rsidR="00D417A6" w:rsidRDefault="00D417A6" w:rsidP="00D417A6">
      <w:pPr>
        <w:spacing w:line="240" w:lineRule="auto"/>
      </w:pPr>
      <w:r>
        <w:continuationSeparator/>
      </w:r>
    </w:p>
  </w:footnote>
  <w:footnote w:id="1">
    <w:p w:rsidR="00D417A6" w:rsidRDefault="00D417A6">
      <w:pPr>
        <w:pStyle w:val="FootnoteText"/>
      </w:pPr>
      <w:r>
        <w:rPr>
          <w:rStyle w:val="FootnoteReference"/>
        </w:rPr>
        <w:footnoteRef/>
      </w:r>
      <w:r>
        <w:t xml:space="preserve"> </w:t>
      </w:r>
      <w:proofErr w:type="gramStart"/>
      <w:r>
        <w:rPr>
          <w:rFonts w:ascii="Garamond" w:hAnsi="Garamond" w:cs="Garamond"/>
          <w:sz w:val="22"/>
        </w:rPr>
        <w:t>HITECH Act § 13405(d) (42 U.S.C. § 17935(d)).</w:t>
      </w:r>
      <w:proofErr w:type="gramEnd"/>
    </w:p>
  </w:footnote>
  <w:footnote w:id="2">
    <w:p w:rsidR="00D417A6" w:rsidRDefault="00D417A6">
      <w:pPr>
        <w:pStyle w:val="FootnoteText"/>
      </w:pPr>
      <w:r>
        <w:rPr>
          <w:rStyle w:val="FootnoteReference"/>
        </w:rPr>
        <w:footnoteRef/>
      </w:r>
      <w:r>
        <w:t xml:space="preserve"> </w:t>
      </w:r>
      <w:proofErr w:type="gramStart"/>
      <w:r>
        <w:rPr>
          <w:rFonts w:ascii="Garamond" w:hAnsi="Garamond" w:cs="Garamond"/>
          <w:sz w:val="22"/>
        </w:rPr>
        <w:t>HITECH Act § 13405(d) (42 U.S.C. § 17935(d)).</w:t>
      </w:r>
      <w:proofErr w:type="gramEnd"/>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715496"/>
    <w:multiLevelType w:val="hybridMultilevel"/>
    <w:tmpl w:val="BE38E9F2"/>
    <w:lvl w:ilvl="0" w:tplc="954632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A505D55"/>
    <w:multiLevelType w:val="hybridMultilevel"/>
    <w:tmpl w:val="4ED80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14041D"/>
    <w:multiLevelType w:val="hybridMultilevel"/>
    <w:tmpl w:val="6D2EEAB6"/>
    <w:lvl w:ilvl="0" w:tplc="9CEEFC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footnotePr>
    <w:footnote w:id="-1"/>
    <w:footnote w:id="0"/>
  </w:footnotePr>
  <w:endnotePr>
    <w:endnote w:id="-1"/>
    <w:endnote w:id="0"/>
  </w:endnotePr>
  <w:compat/>
  <w:rsids>
    <w:rsidRoot w:val="002F2EED"/>
    <w:rsid w:val="00075553"/>
    <w:rsid w:val="000D4C4A"/>
    <w:rsid w:val="000E1199"/>
    <w:rsid w:val="00174BE7"/>
    <w:rsid w:val="001E2C42"/>
    <w:rsid w:val="002F2EED"/>
    <w:rsid w:val="003B373C"/>
    <w:rsid w:val="003B4D2F"/>
    <w:rsid w:val="004020C9"/>
    <w:rsid w:val="00446ACB"/>
    <w:rsid w:val="00496814"/>
    <w:rsid w:val="00503ED9"/>
    <w:rsid w:val="005B2476"/>
    <w:rsid w:val="005D43FD"/>
    <w:rsid w:val="005E3E26"/>
    <w:rsid w:val="0069624F"/>
    <w:rsid w:val="00697FEF"/>
    <w:rsid w:val="006E7175"/>
    <w:rsid w:val="00774930"/>
    <w:rsid w:val="007C7312"/>
    <w:rsid w:val="00850C0D"/>
    <w:rsid w:val="0085216D"/>
    <w:rsid w:val="008C4516"/>
    <w:rsid w:val="008F045C"/>
    <w:rsid w:val="00914F11"/>
    <w:rsid w:val="00991E31"/>
    <w:rsid w:val="00994C1D"/>
    <w:rsid w:val="009D3B3F"/>
    <w:rsid w:val="009F19EB"/>
    <w:rsid w:val="00A42A25"/>
    <w:rsid w:val="00B11846"/>
    <w:rsid w:val="00B53E54"/>
    <w:rsid w:val="00B70046"/>
    <w:rsid w:val="00B70E5C"/>
    <w:rsid w:val="00B72D8F"/>
    <w:rsid w:val="00C7189E"/>
    <w:rsid w:val="00CC2576"/>
    <w:rsid w:val="00CC3C26"/>
    <w:rsid w:val="00CF72CE"/>
    <w:rsid w:val="00D417A6"/>
    <w:rsid w:val="00D84DDD"/>
    <w:rsid w:val="00E779A2"/>
    <w:rsid w:val="00F06D3E"/>
    <w:rsid w:val="00F17D11"/>
    <w:rsid w:val="00F27E45"/>
    <w:rsid w:val="00F46A54"/>
    <w:rsid w:val="00F966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0C9"/>
    <w:pPr>
      <w:spacing w:after="0" w:line="360" w:lineRule="auto"/>
    </w:pPr>
    <w:rPr>
      <w:rFonts w:ascii="Calisto MT" w:hAnsi="Calisto MT"/>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ACB"/>
    <w:pPr>
      <w:ind w:left="720"/>
      <w:contextualSpacing/>
    </w:pPr>
  </w:style>
  <w:style w:type="paragraph" w:customStyle="1" w:styleId="Default">
    <w:name w:val="Default"/>
    <w:rsid w:val="00994C1D"/>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B53E54"/>
    <w:rPr>
      <w:color w:val="0000FF" w:themeColor="hyperlink"/>
      <w:u w:val="single"/>
    </w:rPr>
  </w:style>
  <w:style w:type="paragraph" w:styleId="FootnoteText">
    <w:name w:val="footnote text"/>
    <w:basedOn w:val="Normal"/>
    <w:link w:val="FootnoteTextChar"/>
    <w:uiPriority w:val="99"/>
    <w:semiHidden/>
    <w:unhideWhenUsed/>
    <w:rsid w:val="00D417A6"/>
    <w:pPr>
      <w:spacing w:line="240" w:lineRule="auto"/>
    </w:pPr>
    <w:rPr>
      <w:sz w:val="20"/>
      <w:szCs w:val="20"/>
    </w:rPr>
  </w:style>
  <w:style w:type="character" w:customStyle="1" w:styleId="FootnoteTextChar">
    <w:name w:val="Footnote Text Char"/>
    <w:basedOn w:val="DefaultParagraphFont"/>
    <w:link w:val="FootnoteText"/>
    <w:uiPriority w:val="99"/>
    <w:semiHidden/>
    <w:rsid w:val="00D417A6"/>
    <w:rPr>
      <w:rFonts w:ascii="Calisto MT" w:hAnsi="Calisto MT"/>
      <w:sz w:val="20"/>
      <w:szCs w:val="20"/>
    </w:rPr>
  </w:style>
  <w:style w:type="character" w:styleId="FootnoteReference">
    <w:name w:val="footnote reference"/>
    <w:basedOn w:val="DefaultParagraphFont"/>
    <w:uiPriority w:val="99"/>
    <w:semiHidden/>
    <w:unhideWhenUsed/>
    <w:rsid w:val="00D417A6"/>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gister.gov/articles/2013/01/25/2013-01073/modifications-to-the-hipaa-privacy-security-enforcement-and-breach-notification-rules-under-the" TargetMode="Externa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2E109B0-279B-4354-97C1-17BE1B93EC5F}">
  <ds:schemaRefs>
    <ds:schemaRef ds:uri="http://schemas.openxmlformats.org/officeDocument/2006/bibliography"/>
  </ds:schemaRefs>
</ds:datastoreItem>
</file>

<file path=customXml/itemProps2.xml><?xml version="1.0" encoding="utf-8"?>
<ds:datastoreItem xmlns:ds="http://schemas.openxmlformats.org/officeDocument/2006/customXml" ds:itemID="{BAB79A9C-5D18-4A2D-AD2D-FE0F31437522}"/>
</file>

<file path=customXml/itemProps3.xml><?xml version="1.0" encoding="utf-8"?>
<ds:datastoreItem xmlns:ds="http://schemas.openxmlformats.org/officeDocument/2006/customXml" ds:itemID="{210EE3C1-8DD0-4D84-A788-B56580E53564}"/>
</file>

<file path=customXml/itemProps4.xml><?xml version="1.0" encoding="utf-8"?>
<ds:datastoreItem xmlns:ds="http://schemas.openxmlformats.org/officeDocument/2006/customXml" ds:itemID="{670F3FFC-2478-4EA9-A532-3E6106BC88DB}"/>
</file>

<file path=docProps/app.xml><?xml version="1.0" encoding="utf-8"?>
<Properties xmlns="http://schemas.openxmlformats.org/officeDocument/2006/extended-properties" xmlns:vt="http://schemas.openxmlformats.org/officeDocument/2006/docPropsVTypes">
  <Template>Normal</Template>
  <TotalTime>850</TotalTime>
  <Pages>5</Pages>
  <Words>1591</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Tierney Edwards</dc:creator>
  <cp:lastModifiedBy>Tierney Edwards</cp:lastModifiedBy>
  <cp:revision>3</cp:revision>
  <dcterms:created xsi:type="dcterms:W3CDTF">2013-08-14T17:52:00Z</dcterms:created>
  <dcterms:modified xsi:type="dcterms:W3CDTF">2013-08-21T20:28:00Z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