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186ED" w14:textId="77777777" w:rsidR="00FB11F6" w:rsidRDefault="00FB11F6" w:rsidP="00FB11F6">
      <w:pPr>
        <w:pStyle w:val="Heading1"/>
      </w:pPr>
      <w:bookmarkStart w:id="0" w:name="_Toc161565644"/>
      <w:r>
        <w:t>ADOPTION</w:t>
      </w:r>
      <w:bookmarkEnd w:id="0"/>
    </w:p>
    <w:p w14:paraId="5361EC51" w14:textId="79EB324C" w:rsidR="00FB11F6" w:rsidRDefault="00FB11F6" w:rsidP="00FB11F6">
      <w:pPr>
        <w:keepNext/>
        <w:keepLines/>
        <w:widowControl w:val="0"/>
      </w:pPr>
    </w:p>
    <w:p w14:paraId="6EB3BE6F" w14:textId="77777777" w:rsidR="00FB11F6" w:rsidRDefault="00FB11F6" w:rsidP="00FB11F6">
      <w:pPr>
        <w:keepNext/>
        <w:keepLines/>
        <w:widowControl w:val="0"/>
      </w:pPr>
    </w:p>
    <w:p w14:paraId="009D8E75" w14:textId="4DAF8347" w:rsidR="00FB11F6" w:rsidRDefault="00FB11F6" w:rsidP="00FB11F6">
      <w:pPr>
        <w:pStyle w:val="Heading2"/>
      </w:pPr>
      <w:r>
        <w:t>Who may be adopted?</w:t>
      </w:r>
    </w:p>
    <w:p w14:paraId="376EC1CC" w14:textId="77777777" w:rsidR="00FB11F6" w:rsidRDefault="00FB11F6" w:rsidP="00FB11F6">
      <w:pPr>
        <w:keepNext/>
        <w:keepLines/>
        <w:widowControl w:val="0"/>
        <w:tabs>
          <w:tab w:val="left" w:pos="-720"/>
        </w:tabs>
        <w:suppressAutoHyphens/>
      </w:pPr>
    </w:p>
    <w:p w14:paraId="2F0D77CB" w14:textId="053C0433" w:rsidR="00FB11F6" w:rsidRDefault="00FB11F6" w:rsidP="00FB11F6">
      <w:pPr>
        <w:tabs>
          <w:tab w:val="left" w:pos="-720"/>
        </w:tabs>
        <w:suppressAutoHyphens/>
      </w:pPr>
      <w:r>
        <w:tab/>
        <w:t>Any person may be adopted regardless of age or residence.</w:t>
      </w:r>
      <w:r w:rsidR="00840B79">
        <w:rPr>
          <w:rStyle w:val="FootnoteReference"/>
        </w:rPr>
        <w:footnoteReference w:id="1"/>
      </w:r>
    </w:p>
    <w:p w14:paraId="2815E48B" w14:textId="48E32322" w:rsidR="00EB3D43" w:rsidRDefault="00EB3D43" w:rsidP="00FB11F6">
      <w:pPr>
        <w:tabs>
          <w:tab w:val="left" w:pos="-720"/>
        </w:tabs>
        <w:suppressAutoHyphens/>
      </w:pPr>
    </w:p>
    <w:p w14:paraId="4CC79C01" w14:textId="47079CF3" w:rsidR="00EB3D43" w:rsidRDefault="00EB3D43" w:rsidP="00FB11F6">
      <w:pPr>
        <w:tabs>
          <w:tab w:val="left" w:pos="-720"/>
        </w:tabs>
        <w:suppressAutoHyphens/>
        <w:rPr>
          <w:b/>
        </w:rPr>
      </w:pPr>
      <w:r>
        <w:rPr>
          <w:b/>
        </w:rPr>
        <w:t>Who may adopt?</w:t>
      </w:r>
    </w:p>
    <w:p w14:paraId="0A1CF66A" w14:textId="1425F5B6" w:rsidR="00EB3D43" w:rsidRDefault="00EB3D43" w:rsidP="00FB11F6">
      <w:pPr>
        <w:tabs>
          <w:tab w:val="left" w:pos="-720"/>
        </w:tabs>
        <w:suppressAutoHyphens/>
        <w:rPr>
          <w:b/>
        </w:rPr>
      </w:pPr>
    </w:p>
    <w:p w14:paraId="4DA7620F" w14:textId="77777777" w:rsidR="00EB3D43" w:rsidRDefault="00EB3D43" w:rsidP="00EB3D43">
      <w:pPr>
        <w:tabs>
          <w:tab w:val="left" w:pos="-720"/>
        </w:tabs>
        <w:suppressAutoHyphens/>
      </w:pPr>
      <w:r>
        <w:t>Any person who is legally competent and age 18 or older may be an adoptive parent.</w:t>
      </w:r>
      <w:r>
        <w:rPr>
          <w:rStyle w:val="FootnoteReference"/>
        </w:rPr>
        <w:footnoteReference w:id="2"/>
      </w:r>
    </w:p>
    <w:p w14:paraId="0F4FF93F" w14:textId="5D5DC836" w:rsidR="00EB3D43" w:rsidRPr="00EB3D43" w:rsidRDefault="00EB3D43" w:rsidP="00FB11F6">
      <w:pPr>
        <w:tabs>
          <w:tab w:val="left" w:pos="-720"/>
        </w:tabs>
        <w:suppressAutoHyphens/>
      </w:pPr>
    </w:p>
    <w:p w14:paraId="32B96D08" w14:textId="77777777" w:rsidR="00FB11F6" w:rsidRDefault="00FB11F6" w:rsidP="00FB11F6">
      <w:pPr>
        <w:tabs>
          <w:tab w:val="left" w:pos="-720"/>
        </w:tabs>
        <w:suppressAutoHyphens/>
      </w:pPr>
    </w:p>
    <w:p w14:paraId="0E988DEC" w14:textId="77777777" w:rsidR="00FB11F6" w:rsidRDefault="00FB11F6" w:rsidP="00FB11F6">
      <w:pPr>
        <w:pStyle w:val="Heading2"/>
      </w:pPr>
      <w:r>
        <w:t>Whose consent is required for an adoption?</w:t>
      </w:r>
    </w:p>
    <w:p w14:paraId="0D894B30" w14:textId="77777777" w:rsidR="00FB11F6" w:rsidRDefault="00FB11F6" w:rsidP="00FB11F6">
      <w:pPr>
        <w:keepNext/>
        <w:keepLines/>
        <w:widowControl w:val="0"/>
        <w:tabs>
          <w:tab w:val="left" w:pos="-720"/>
        </w:tabs>
        <w:suppressAutoHyphens/>
      </w:pPr>
    </w:p>
    <w:p w14:paraId="6716299B" w14:textId="77777777" w:rsidR="00FB11F6" w:rsidRDefault="00FB11F6" w:rsidP="00FB11F6">
      <w:pPr>
        <w:tabs>
          <w:tab w:val="left" w:pos="-720"/>
        </w:tabs>
        <w:suppressAutoHyphens/>
      </w:pPr>
      <w:r>
        <w:tab/>
        <w:t>Consent to an adoption is required of the following persons if applicable:</w:t>
      </w:r>
      <w:r w:rsidR="00840B79">
        <w:rPr>
          <w:rStyle w:val="FootnoteReference"/>
        </w:rPr>
        <w:footnoteReference w:id="3"/>
      </w:r>
    </w:p>
    <w:p w14:paraId="58470FDA" w14:textId="77777777" w:rsidR="00FB11F6" w:rsidRDefault="00FB11F6" w:rsidP="00FB11F6">
      <w:pPr>
        <w:tabs>
          <w:tab w:val="left" w:pos="-720"/>
        </w:tabs>
        <w:suppressAutoHyphens/>
      </w:pPr>
    </w:p>
    <w:p w14:paraId="3937F14B" w14:textId="5A425419" w:rsidR="00FB11F6" w:rsidRDefault="00FB11F6" w:rsidP="00FB11F6">
      <w:pPr>
        <w:pStyle w:val="ListBullet"/>
      </w:pPr>
      <w:r>
        <w:t>The adoptee, if age 14 or older</w:t>
      </w:r>
      <w:r w:rsidR="00D139E4">
        <w:t>;</w:t>
      </w:r>
    </w:p>
    <w:p w14:paraId="32308E95" w14:textId="77777777" w:rsidR="00FB11F6" w:rsidRDefault="00FB11F6" w:rsidP="00FB11F6">
      <w:pPr>
        <w:tabs>
          <w:tab w:val="left" w:pos="-720"/>
        </w:tabs>
        <w:suppressAutoHyphens/>
      </w:pPr>
    </w:p>
    <w:p w14:paraId="0BDAB6C9" w14:textId="3DA11EA5" w:rsidR="00FB11F6" w:rsidRDefault="00FB11F6" w:rsidP="00FB11F6">
      <w:pPr>
        <w:pStyle w:val="ListBullet"/>
      </w:pPr>
      <w:r>
        <w:t xml:space="preserve">The </w:t>
      </w:r>
      <w:r w:rsidR="00840B79">
        <w:t>parents and any</w:t>
      </w:r>
      <w:r>
        <w:t xml:space="preserve"> alleged father of an adoptee under age 18</w:t>
      </w:r>
      <w:r w:rsidR="00D139E4">
        <w:t>;</w:t>
      </w:r>
    </w:p>
    <w:p w14:paraId="60A2E986" w14:textId="77777777" w:rsidR="00FB11F6" w:rsidRDefault="00FB11F6" w:rsidP="00FB11F6">
      <w:pPr>
        <w:tabs>
          <w:tab w:val="left" w:pos="-720"/>
        </w:tabs>
        <w:suppressAutoHyphens/>
      </w:pPr>
    </w:p>
    <w:p w14:paraId="64E5B5D5" w14:textId="6921786E" w:rsidR="00FB11F6" w:rsidRDefault="00FB11F6" w:rsidP="00FB11F6">
      <w:pPr>
        <w:pStyle w:val="ListBullet"/>
      </w:pPr>
      <w:r>
        <w:t xml:space="preserve">The agency, </w:t>
      </w:r>
      <w:r w:rsidR="00FB7C6D">
        <w:t>or the department</w:t>
      </w:r>
      <w:r>
        <w:t xml:space="preserve"> to which the adoptee has been relinquished</w:t>
      </w:r>
      <w:r w:rsidR="00D139E4">
        <w:t>;</w:t>
      </w:r>
    </w:p>
    <w:p w14:paraId="5B7DABC1" w14:textId="77777777" w:rsidR="00FB11F6" w:rsidRDefault="00FB11F6" w:rsidP="00FB11F6">
      <w:pPr>
        <w:tabs>
          <w:tab w:val="left" w:pos="-720"/>
        </w:tabs>
        <w:suppressAutoHyphens/>
      </w:pPr>
    </w:p>
    <w:p w14:paraId="7F330338" w14:textId="3F2C6C03" w:rsidR="00FB11F6" w:rsidRDefault="00A735F3" w:rsidP="00FB11F6">
      <w:pPr>
        <w:pStyle w:val="ListBullet"/>
        <w:tabs>
          <w:tab w:val="left" w:pos="-720"/>
        </w:tabs>
        <w:suppressAutoHyphens/>
      </w:pPr>
      <w:r>
        <w:t>DCYF</w:t>
      </w:r>
      <w:r>
        <w:rPr>
          <w:rStyle w:val="FootnoteReference"/>
        </w:rPr>
        <w:footnoteReference w:id="4"/>
      </w:r>
      <w:r w:rsidR="00FB11F6">
        <w:t xml:space="preserve">, if the adoptee has been relinquished to </w:t>
      </w:r>
      <w:r>
        <w:t>DCYF</w:t>
      </w:r>
      <w:r w:rsidR="00D139E4">
        <w:t xml:space="preserve">; </w:t>
      </w:r>
      <w:r w:rsidR="00277E08">
        <w:t>and</w:t>
      </w:r>
    </w:p>
    <w:p w14:paraId="630F8210" w14:textId="77777777" w:rsidR="00FB7C6D" w:rsidRPr="00FB7C6D" w:rsidRDefault="00FB7C6D" w:rsidP="00FB7C6D"/>
    <w:p w14:paraId="64FD906E" w14:textId="77777777" w:rsidR="00FB11F6" w:rsidRDefault="00FB11F6" w:rsidP="00FB11F6">
      <w:pPr>
        <w:pStyle w:val="ListBullet"/>
      </w:pPr>
      <w:r>
        <w:t>The legal guardian, if any, of the adoptee.</w:t>
      </w:r>
    </w:p>
    <w:p w14:paraId="6E9AA606" w14:textId="77777777" w:rsidR="00FB11F6" w:rsidRDefault="00FB11F6" w:rsidP="00FB11F6">
      <w:pPr>
        <w:tabs>
          <w:tab w:val="left" w:pos="-720"/>
        </w:tabs>
        <w:suppressAutoHyphens/>
      </w:pPr>
    </w:p>
    <w:p w14:paraId="3DE01AC2" w14:textId="26388D5A" w:rsidR="00FB11F6" w:rsidRDefault="00FB11F6" w:rsidP="00FB11F6">
      <w:pPr>
        <w:tabs>
          <w:tab w:val="left" w:pos="-720"/>
        </w:tabs>
        <w:suppressAutoHyphens/>
      </w:pPr>
      <w:r>
        <w:t xml:space="preserve">Consent to an adoption by an agency, </w:t>
      </w:r>
      <w:r w:rsidR="00D71893">
        <w:t>DCYF</w:t>
      </w:r>
      <w:r w:rsidR="009B326E">
        <w:t>,</w:t>
      </w:r>
      <w:r w:rsidR="00D71893">
        <w:t xml:space="preserve"> </w:t>
      </w:r>
      <w:r>
        <w:t>or a legal guardian may be dispensed with if a court determines that the proposed adoption is in the best interests of the adoptee</w:t>
      </w:r>
      <w:r w:rsidR="00F732FE">
        <w:rPr>
          <w:rStyle w:val="FootnoteReference"/>
        </w:rPr>
        <w:footnoteReference w:id="5"/>
      </w:r>
      <w:r>
        <w:t>.</w:t>
      </w:r>
    </w:p>
    <w:p w14:paraId="596F5194" w14:textId="77777777" w:rsidR="00FB11F6" w:rsidRDefault="00FB11F6" w:rsidP="00FB11F6">
      <w:pPr>
        <w:tabs>
          <w:tab w:val="left" w:pos="-720"/>
        </w:tabs>
        <w:suppressAutoHyphens/>
      </w:pPr>
    </w:p>
    <w:p w14:paraId="1E997116" w14:textId="77777777" w:rsidR="00FB11F6" w:rsidRDefault="00FB11F6" w:rsidP="00FB11F6">
      <w:pPr>
        <w:pStyle w:val="Heading2"/>
      </w:pPr>
      <w:r>
        <w:t>Once consent is given to an adoption, may it be revoked?</w:t>
      </w:r>
    </w:p>
    <w:p w14:paraId="7F94160E" w14:textId="77777777" w:rsidR="00FB11F6" w:rsidRDefault="00FB11F6" w:rsidP="00FB11F6">
      <w:pPr>
        <w:keepNext/>
        <w:keepLines/>
        <w:widowControl w:val="0"/>
        <w:tabs>
          <w:tab w:val="left" w:pos="-720"/>
        </w:tabs>
        <w:suppressAutoHyphens/>
      </w:pPr>
    </w:p>
    <w:p w14:paraId="6F1F18B6" w14:textId="62937C80" w:rsidR="00FB11F6" w:rsidRDefault="00FB11F6" w:rsidP="00FB11F6">
      <w:pPr>
        <w:tabs>
          <w:tab w:val="left" w:pos="-720"/>
        </w:tabs>
        <w:suppressAutoHyphens/>
      </w:pPr>
      <w:r>
        <w:tab/>
        <w:t>Yes</w:t>
      </w:r>
      <w:r w:rsidR="000E1624">
        <w:t>. A</w:t>
      </w:r>
      <w:r>
        <w:t xml:space="preserve"> consenting party may revoke consent at any time before the adoption is approved by the court.</w:t>
      </w:r>
      <w:r w:rsidR="000E1624">
        <w:rPr>
          <w:rStyle w:val="FootnoteReference"/>
        </w:rPr>
        <w:footnoteReference w:id="6"/>
      </w:r>
    </w:p>
    <w:p w14:paraId="1703E140" w14:textId="77777777" w:rsidR="00FB11F6" w:rsidRDefault="00FB11F6" w:rsidP="00FB11F6">
      <w:pPr>
        <w:tabs>
          <w:tab w:val="left" w:pos="-720"/>
        </w:tabs>
        <w:suppressAutoHyphens/>
      </w:pPr>
    </w:p>
    <w:p w14:paraId="0AE513B8" w14:textId="77777777" w:rsidR="00FB11F6" w:rsidRDefault="00FB11F6" w:rsidP="00FB11F6">
      <w:pPr>
        <w:pStyle w:val="Heading2"/>
      </w:pPr>
      <w:r>
        <w:t>May a birth parent or alleged father who is a minor consent to adoption of his or her child?</w:t>
      </w:r>
    </w:p>
    <w:p w14:paraId="1132278E" w14:textId="77777777" w:rsidR="00FB11F6" w:rsidRDefault="00FB11F6" w:rsidP="00FB11F6">
      <w:pPr>
        <w:keepNext/>
        <w:keepLines/>
        <w:widowControl w:val="0"/>
        <w:tabs>
          <w:tab w:val="left" w:pos="-720"/>
        </w:tabs>
        <w:suppressAutoHyphens/>
      </w:pPr>
    </w:p>
    <w:p w14:paraId="4C241E6B" w14:textId="7396ECD1" w:rsidR="00FB11F6" w:rsidRDefault="00FB11F6" w:rsidP="00FB11F6">
      <w:pPr>
        <w:tabs>
          <w:tab w:val="left" w:pos="-720"/>
        </w:tabs>
        <w:suppressAutoHyphens/>
      </w:pPr>
      <w:r>
        <w:tab/>
        <w:t xml:space="preserve">Generally, the court will appoint a guardian </w:t>
      </w:r>
      <w:r w:rsidRPr="00D82398">
        <w:rPr>
          <w:i/>
        </w:rPr>
        <w:t xml:space="preserve">ad </w:t>
      </w:r>
      <w:r w:rsidRPr="00D82398">
        <w:rPr>
          <w:i/>
        </w:rPr>
        <w:t>litem</w:t>
      </w:r>
      <w:r w:rsidR="005A5CA7">
        <w:t xml:space="preserve"> (appointed</w:t>
      </w:r>
      <w:r w:rsidR="00A83DDD">
        <w:t xml:space="preserve"> to protect</w:t>
      </w:r>
      <w:r w:rsidR="00D82398">
        <w:t xml:space="preserve"> </w:t>
      </w:r>
      <w:r w:rsidR="00A83DDD">
        <w:t>someone’s interests when he or she cannot adequately represent his or her own interests)</w:t>
      </w:r>
      <w:r>
        <w:t xml:space="preserve"> for </w:t>
      </w:r>
      <w:r>
        <w:t xml:space="preserve">any birth parent </w:t>
      </w:r>
      <w:r>
        <w:lastRenderedPageBreak/>
        <w:t>or alleged father who is under age 18 or is otherwise legally incompetent.</w:t>
      </w:r>
      <w:r w:rsidR="000E1624">
        <w:rPr>
          <w:rStyle w:val="FootnoteReference"/>
        </w:rPr>
        <w:footnoteReference w:id="7"/>
      </w:r>
      <w:r>
        <w:t xml:space="preserve">  The guardian ad litem will determine what is in the minor</w:t>
      </w:r>
      <w:r w:rsidR="00D520F3">
        <w:t>’s</w:t>
      </w:r>
      <w:r>
        <w:t xml:space="preserve"> or incompetent parent’s best interest and whether the minor or incompetent</w:t>
      </w:r>
      <w:r w:rsidR="003D50FB">
        <w:t xml:space="preserve"> parent</w:t>
      </w:r>
      <w:r>
        <w:t>, voluntarily and with knowledge of the consequences of the action, signed any written consent to the adoption or any petition for relinquishment of a child.</w:t>
      </w:r>
      <w:r w:rsidR="0097175C">
        <w:rPr>
          <w:rStyle w:val="FootnoteReference"/>
        </w:rPr>
        <w:footnoteReference w:id="8"/>
      </w:r>
    </w:p>
    <w:p w14:paraId="20AFD2AE" w14:textId="77777777" w:rsidR="00FB11F6" w:rsidRDefault="00FB11F6" w:rsidP="00FB11F6">
      <w:pPr>
        <w:tabs>
          <w:tab w:val="left" w:pos="-720"/>
        </w:tabs>
        <w:suppressAutoHyphens/>
      </w:pPr>
    </w:p>
    <w:p w14:paraId="14320E97" w14:textId="77777777" w:rsidR="00FB11F6" w:rsidRDefault="00FB11F6" w:rsidP="00FB11F6">
      <w:pPr>
        <w:pStyle w:val="Heading2"/>
      </w:pPr>
      <w:r>
        <w:t>What is a physician’s role in an adoption?</w:t>
      </w:r>
    </w:p>
    <w:p w14:paraId="5F66853B" w14:textId="77777777" w:rsidR="00FB11F6" w:rsidRDefault="00FB11F6" w:rsidP="00FB11F6">
      <w:pPr>
        <w:keepNext/>
        <w:keepLines/>
        <w:widowControl w:val="0"/>
        <w:tabs>
          <w:tab w:val="left" w:pos="-720"/>
        </w:tabs>
        <w:suppressAutoHyphens/>
      </w:pPr>
    </w:p>
    <w:p w14:paraId="7B12021F" w14:textId="2CE887F8" w:rsidR="00FB11F6" w:rsidRDefault="00FB11F6" w:rsidP="00FB11F6">
      <w:pPr>
        <w:tabs>
          <w:tab w:val="left" w:pos="-720"/>
        </w:tabs>
        <w:suppressAutoHyphens/>
      </w:pPr>
      <w:r>
        <w:tab/>
        <w:t>The adoption statutes do not specifically address the role or responsibilities of a physician in the adoption process.</w:t>
      </w:r>
      <w:r w:rsidR="004031C9">
        <w:rPr>
          <w:rStyle w:val="FootnoteReference"/>
        </w:rPr>
        <w:footnoteReference w:id="9"/>
      </w:r>
    </w:p>
    <w:p w14:paraId="7CE8495B" w14:textId="77777777" w:rsidR="00FB11F6" w:rsidRDefault="00FB11F6" w:rsidP="00FB11F6">
      <w:pPr>
        <w:tabs>
          <w:tab w:val="left" w:pos="-720"/>
        </w:tabs>
        <w:suppressAutoHyphens/>
      </w:pPr>
    </w:p>
    <w:p w14:paraId="7653300D" w14:textId="41E8BFC3" w:rsidR="00FB11F6" w:rsidRDefault="00FB11F6" w:rsidP="00FB11F6">
      <w:pPr>
        <w:tabs>
          <w:tab w:val="left" w:pos="-720"/>
        </w:tabs>
        <w:suppressAutoHyphens/>
      </w:pPr>
      <w:r>
        <w:tab/>
        <w:t>A physician may be asked to provide information for a medical report</w:t>
      </w:r>
      <w:r w:rsidR="00F77E42">
        <w:rPr>
          <w:rStyle w:val="FootnoteReference"/>
        </w:rPr>
        <w:footnoteReference w:id="10"/>
      </w:r>
      <w:r>
        <w:t xml:space="preserve"> which the person or entity receiving, securing a home for, or otherwise caring for a minor child must make available to adoptive, or prospective adoptive, parents of the child. Such reports are to contain all known and available information concerning the child’s mental, physical, and sensory handicaps, as well as all known and available mental or physical health history of the birth parents that the adoptive parent may need to facilitate proper care for, and to maximize the developmental potential of the child.</w:t>
      </w:r>
      <w:r w:rsidR="0097175C">
        <w:rPr>
          <w:rStyle w:val="FootnoteReference"/>
        </w:rPr>
        <w:footnoteReference w:id="11"/>
      </w:r>
    </w:p>
    <w:p w14:paraId="706756A2" w14:textId="77777777" w:rsidR="00FB11F6" w:rsidRDefault="00FB11F6" w:rsidP="00FB11F6">
      <w:pPr>
        <w:tabs>
          <w:tab w:val="left" w:pos="-720"/>
        </w:tabs>
        <w:suppressAutoHyphens/>
      </w:pPr>
    </w:p>
    <w:p w14:paraId="4773850E" w14:textId="0736D681" w:rsidR="00F77E42" w:rsidRDefault="00FB11F6" w:rsidP="00FB11F6">
      <w:pPr>
        <w:tabs>
          <w:tab w:val="left" w:pos="-720"/>
        </w:tabs>
        <w:suppressAutoHyphens/>
      </w:pPr>
      <w:r>
        <w:tab/>
      </w:r>
      <w:r w:rsidR="00567CB4">
        <w:t xml:space="preserve">If known or available, these </w:t>
      </w:r>
      <w:r>
        <w:t xml:space="preserve">reports should </w:t>
      </w:r>
      <w:r w:rsidR="00567CB4">
        <w:t xml:space="preserve">also </w:t>
      </w:r>
      <w:r>
        <w:t>include a review of the birth family’s and the child’s past medical history, including the child’s x-rays, examinations, hospitalizations, and immunizations; a physical exam of the child, with appropriate laboratory tests and x-rays; any indicated referrals to specialists; and any recommendations to the adoptive parents.</w:t>
      </w:r>
      <w:r w:rsidR="0097175C">
        <w:rPr>
          <w:rStyle w:val="FootnoteReference"/>
        </w:rPr>
        <w:footnoteReference w:id="12"/>
      </w:r>
      <w:r>
        <w:t xml:space="preserve"> </w:t>
      </w:r>
    </w:p>
    <w:p w14:paraId="35C43BD5" w14:textId="77777777" w:rsidR="00F77E42" w:rsidRDefault="00F77E42" w:rsidP="00FB11F6">
      <w:pPr>
        <w:tabs>
          <w:tab w:val="left" w:pos="-720"/>
        </w:tabs>
        <w:suppressAutoHyphens/>
      </w:pPr>
    </w:p>
    <w:p w14:paraId="44383ABD" w14:textId="650095F7" w:rsidR="00FB11F6" w:rsidRDefault="0097175C" w:rsidP="00FB11F6">
      <w:pPr>
        <w:tabs>
          <w:tab w:val="left" w:pos="-720"/>
        </w:tabs>
        <w:suppressAutoHyphens/>
      </w:pPr>
      <w:r>
        <w:tab/>
      </w:r>
      <w:r w:rsidR="00FB11F6">
        <w:t>Generally, the reports should not, however, reveal the identities of the child’s birth parents.</w:t>
      </w:r>
      <w:r>
        <w:rPr>
          <w:rStyle w:val="FootnoteReference"/>
        </w:rPr>
        <w:footnoteReference w:id="13"/>
      </w:r>
      <w:r w:rsidR="00FB11F6">
        <w:t xml:space="preserve"> Medical histories should be given on a standardized reporting form developed by </w:t>
      </w:r>
      <w:r w:rsidR="00515653">
        <w:t>DCYF</w:t>
      </w:r>
      <w:r w:rsidR="00FB11F6">
        <w:t>.</w:t>
      </w:r>
      <w:r>
        <w:rPr>
          <w:rStyle w:val="FootnoteReference"/>
        </w:rPr>
        <w:footnoteReference w:id="14"/>
      </w:r>
      <w:r w:rsidR="00F77E42" w:rsidRPr="00F77E42">
        <w:t xml:space="preserve"> The entities or persons providing the information </w:t>
      </w:r>
      <w:r w:rsidR="00F77E42">
        <w:t>in the medical report ha</w:t>
      </w:r>
      <w:r w:rsidR="00784502">
        <w:t>ve</w:t>
      </w:r>
      <w:r w:rsidR="00F77E42" w:rsidRPr="00F77E42">
        <w:t xml:space="preserve"> no duty, beyond providing the information, to explain or interpret the records or information regarding the child's present or future health.</w:t>
      </w:r>
      <w:r>
        <w:rPr>
          <w:rStyle w:val="FootnoteReference"/>
        </w:rPr>
        <w:footnoteReference w:id="15"/>
      </w:r>
    </w:p>
    <w:p w14:paraId="3C322EC4" w14:textId="77777777" w:rsidR="00FB11F6" w:rsidRDefault="00FB11F6" w:rsidP="00FB11F6">
      <w:pPr>
        <w:tabs>
          <w:tab w:val="left" w:pos="-720"/>
        </w:tabs>
        <w:suppressAutoHyphens/>
      </w:pPr>
    </w:p>
    <w:p w14:paraId="6C38E154" w14:textId="77777777" w:rsidR="00FB11F6" w:rsidRDefault="00FB11F6" w:rsidP="00FB11F6">
      <w:pPr>
        <w:pStyle w:val="Heading2"/>
      </w:pPr>
      <w:r>
        <w:t>Should a physician obtain written consent before providing information for an adoption medical report?</w:t>
      </w:r>
    </w:p>
    <w:p w14:paraId="5D294255" w14:textId="77777777" w:rsidR="00FB11F6" w:rsidRDefault="00FB11F6" w:rsidP="00FB11F6">
      <w:pPr>
        <w:keepNext/>
        <w:keepLines/>
        <w:widowControl w:val="0"/>
        <w:tabs>
          <w:tab w:val="left" w:pos="-720"/>
        </w:tabs>
        <w:suppressAutoHyphens/>
      </w:pPr>
    </w:p>
    <w:p w14:paraId="12E2A999" w14:textId="4A391090" w:rsidR="00FB11F6" w:rsidRDefault="00FB11F6" w:rsidP="00FB11F6">
      <w:pPr>
        <w:tabs>
          <w:tab w:val="left" w:pos="-720"/>
        </w:tabs>
        <w:suppressAutoHyphens/>
      </w:pPr>
      <w:r>
        <w:tab/>
        <w:t>Generally, yes. A child or birth parent’s involvement in an adoption proceeding does not waive the physician-patient privilege. The physician should obtain the written consent of a minor child’s birth parent or legal guardian before releasing confidential information about the child and should obtain the written consent of the birth parent before releasing confidential information about the birth parent.</w:t>
      </w:r>
    </w:p>
    <w:p w14:paraId="1C910995" w14:textId="77777777" w:rsidR="00FB11F6" w:rsidRDefault="00FB11F6" w:rsidP="00FB11F6">
      <w:pPr>
        <w:tabs>
          <w:tab w:val="left" w:pos="-720"/>
        </w:tabs>
        <w:suppressAutoHyphens/>
      </w:pPr>
    </w:p>
    <w:p w14:paraId="0329590C" w14:textId="77777777" w:rsidR="00FB11F6" w:rsidRDefault="00FB11F6" w:rsidP="00FB11F6">
      <w:pPr>
        <w:pStyle w:val="Heading2"/>
      </w:pPr>
      <w:r>
        <w:lastRenderedPageBreak/>
        <w:t>May a physician introduce a birth mother to prospective adoptive parents?</w:t>
      </w:r>
    </w:p>
    <w:p w14:paraId="6449D283" w14:textId="77777777" w:rsidR="00FB11F6" w:rsidRDefault="00FB11F6" w:rsidP="00FB11F6">
      <w:pPr>
        <w:keepNext/>
        <w:keepLines/>
        <w:widowControl w:val="0"/>
        <w:tabs>
          <w:tab w:val="left" w:pos="-720"/>
        </w:tabs>
        <w:suppressAutoHyphens/>
      </w:pPr>
    </w:p>
    <w:p w14:paraId="7F1DCB6C" w14:textId="0DBA8DFB" w:rsidR="00840B79" w:rsidRDefault="00FB11F6" w:rsidP="00FB11F6">
      <w:r>
        <w:tab/>
        <w:t>Yes, but only after obtaining the birth mother’s consent to do so.</w:t>
      </w:r>
      <w:r w:rsidR="0097175C">
        <w:rPr>
          <w:rStyle w:val="FootnoteReference"/>
        </w:rPr>
        <w:footnoteReference w:id="16"/>
      </w:r>
      <w:r>
        <w:t xml:space="preserve"> </w:t>
      </w:r>
      <w:r w:rsidR="00BA0FBB">
        <w:t>The law otherwise requires the identity of the birth parents to remain confidential.</w:t>
      </w:r>
      <w:r w:rsidR="00BA0FBB">
        <w:rPr>
          <w:rStyle w:val="FootnoteReference"/>
        </w:rPr>
        <w:footnoteReference w:id="17"/>
      </w:r>
      <w:r w:rsidR="00BA0FBB">
        <w:t xml:space="preserve"> </w:t>
      </w:r>
      <w:r>
        <w:t>The physician should then refer the birth mother and the prospective adoptive parents to their respective attorneys</w:t>
      </w:r>
      <w:r w:rsidR="005B2ED5">
        <w:t xml:space="preserve"> </w:t>
      </w:r>
      <w:r w:rsidR="00BA0FBB">
        <w:t xml:space="preserve">to complete the process. </w:t>
      </w:r>
      <w:r w:rsidR="00E50D34">
        <w:t xml:space="preserve">DCYF </w:t>
      </w:r>
      <w:r w:rsidR="00BA0FBB">
        <w:t>publishes a list of adoption resources that might be helpful, as well</w:t>
      </w:r>
      <w:r>
        <w:t>.</w:t>
      </w:r>
      <w:r w:rsidR="00BA0FBB">
        <w:rPr>
          <w:rStyle w:val="FootnoteReference"/>
        </w:rPr>
        <w:footnoteReference w:id="18"/>
      </w:r>
    </w:p>
    <w:p w14:paraId="3511EB4A" w14:textId="77777777" w:rsidR="00AB68E7" w:rsidRDefault="00AB68E7" w:rsidP="00FB11F6">
      <w:bookmarkStart w:id="1" w:name="_GoBack"/>
      <w:bookmarkEnd w:id="1"/>
    </w:p>
    <w:sectPr w:rsidR="00AB68E7"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52422" w14:textId="77777777" w:rsidR="00785EB8" w:rsidRDefault="00785EB8" w:rsidP="00FB11F6">
      <w:r>
        <w:separator/>
      </w:r>
    </w:p>
  </w:endnote>
  <w:endnote w:type="continuationSeparator" w:id="0">
    <w:p w14:paraId="5B4ABCEB" w14:textId="77777777" w:rsidR="00785EB8" w:rsidRDefault="00785EB8" w:rsidP="00FB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BB16E" w14:textId="77777777" w:rsidR="00785EB8" w:rsidRDefault="00785EB8" w:rsidP="00FB11F6">
      <w:r>
        <w:separator/>
      </w:r>
    </w:p>
  </w:footnote>
  <w:footnote w:type="continuationSeparator" w:id="0">
    <w:p w14:paraId="66BF3FC3" w14:textId="77777777" w:rsidR="00785EB8" w:rsidRDefault="00785EB8" w:rsidP="00FB11F6">
      <w:r>
        <w:continuationSeparator/>
      </w:r>
    </w:p>
  </w:footnote>
  <w:footnote w:id="1">
    <w:p w14:paraId="7E4198FD" w14:textId="77777777" w:rsidR="00785EB8" w:rsidRDefault="00785EB8" w:rsidP="00840B79">
      <w:pPr>
        <w:pStyle w:val="FootnoteText"/>
      </w:pPr>
      <w:r>
        <w:rPr>
          <w:rStyle w:val="FootnoteReference"/>
        </w:rPr>
        <w:footnoteRef/>
      </w:r>
      <w:r>
        <w:t xml:space="preserve"> RCW 26.33.140(1). </w:t>
      </w:r>
    </w:p>
  </w:footnote>
  <w:footnote w:id="2">
    <w:p w14:paraId="2969C92B" w14:textId="77777777" w:rsidR="00785EB8" w:rsidRDefault="00785EB8" w:rsidP="00EB3D43">
      <w:pPr>
        <w:pStyle w:val="FootnoteText"/>
      </w:pPr>
      <w:r>
        <w:rPr>
          <w:rStyle w:val="FootnoteReference"/>
        </w:rPr>
        <w:footnoteRef/>
      </w:r>
      <w:r>
        <w:t xml:space="preserve"> RCW 26.33.140(2).</w:t>
      </w:r>
    </w:p>
  </w:footnote>
  <w:footnote w:id="3">
    <w:p w14:paraId="00FC102F" w14:textId="77777777" w:rsidR="00785EB8" w:rsidRDefault="00785EB8" w:rsidP="00840B79">
      <w:pPr>
        <w:pStyle w:val="FootnoteText"/>
      </w:pPr>
      <w:r>
        <w:rPr>
          <w:rStyle w:val="FootnoteReference"/>
        </w:rPr>
        <w:footnoteRef/>
      </w:r>
      <w:r>
        <w:t xml:space="preserve"> RCW 26.33.160(1).</w:t>
      </w:r>
    </w:p>
  </w:footnote>
  <w:footnote w:id="4">
    <w:p w14:paraId="56A592D1" w14:textId="50749556" w:rsidR="00785EB8" w:rsidRDefault="00785EB8">
      <w:pPr>
        <w:pStyle w:val="FootnoteText"/>
      </w:pPr>
      <w:r>
        <w:rPr>
          <w:rStyle w:val="FootnoteReference"/>
        </w:rPr>
        <w:footnoteRef/>
      </w:r>
      <w:r>
        <w:t xml:space="preserve"> On July 1, 2018, the Children’s Administration division and its adoption services of DSHS reorganized under </w:t>
      </w:r>
      <w:r w:rsidR="00D82398">
        <w:t>t</w:t>
      </w:r>
      <w:r>
        <w:t>he Department of Children, Youth, and Families (DCYF).</w:t>
      </w:r>
    </w:p>
  </w:footnote>
  <w:footnote w:id="5">
    <w:p w14:paraId="61059092" w14:textId="77777777" w:rsidR="00785EB8" w:rsidRDefault="00785EB8">
      <w:pPr>
        <w:pStyle w:val="FootnoteText"/>
      </w:pPr>
      <w:r>
        <w:rPr>
          <w:rStyle w:val="FootnoteReference"/>
        </w:rPr>
        <w:footnoteRef/>
      </w:r>
      <w:r>
        <w:t xml:space="preserve"> RCW 26.33.170(1).</w:t>
      </w:r>
    </w:p>
  </w:footnote>
  <w:footnote w:id="6">
    <w:p w14:paraId="2D882568" w14:textId="77777777" w:rsidR="00785EB8" w:rsidRDefault="00785EB8" w:rsidP="000E1624">
      <w:pPr>
        <w:pStyle w:val="FootnoteText"/>
      </w:pPr>
      <w:r>
        <w:rPr>
          <w:rStyle w:val="FootnoteReference"/>
        </w:rPr>
        <w:footnoteRef/>
      </w:r>
      <w:r>
        <w:t xml:space="preserve"> RCW 26.33.160(2). </w:t>
      </w:r>
    </w:p>
  </w:footnote>
  <w:footnote w:id="7">
    <w:p w14:paraId="5B0FC917" w14:textId="77777777" w:rsidR="00785EB8" w:rsidRDefault="00785EB8" w:rsidP="000E1624">
      <w:pPr>
        <w:pStyle w:val="FootnoteText"/>
      </w:pPr>
      <w:r>
        <w:rPr>
          <w:rStyle w:val="FootnoteReference"/>
        </w:rPr>
        <w:footnoteRef/>
      </w:r>
      <w:r>
        <w:t xml:space="preserve"> RCW 26.33.070(1).</w:t>
      </w:r>
    </w:p>
  </w:footnote>
  <w:footnote w:id="8">
    <w:p w14:paraId="07A26E0C" w14:textId="27523BEA" w:rsidR="00785EB8" w:rsidRPr="0097175C" w:rsidRDefault="00785EB8">
      <w:pPr>
        <w:pStyle w:val="FootnoteText"/>
      </w:pPr>
      <w:r>
        <w:rPr>
          <w:rStyle w:val="FootnoteReference"/>
        </w:rPr>
        <w:footnoteRef/>
      </w:r>
      <w:r>
        <w:t xml:space="preserve"> </w:t>
      </w:r>
      <w:r w:rsidRPr="0010141A">
        <w:t xml:space="preserve"> </w:t>
      </w:r>
      <w:r>
        <w:t>RCW 26.33.070(1).</w:t>
      </w:r>
    </w:p>
  </w:footnote>
  <w:footnote w:id="9">
    <w:p w14:paraId="6FB4FF45" w14:textId="634C6E21" w:rsidR="00785EB8" w:rsidRDefault="00785EB8">
      <w:pPr>
        <w:pStyle w:val="FootnoteText"/>
      </w:pPr>
      <w:r>
        <w:rPr>
          <w:rStyle w:val="FootnoteReference"/>
        </w:rPr>
        <w:footnoteRef/>
      </w:r>
      <w:r>
        <w:t xml:space="preserve"> See generally, RCW 26.33.</w:t>
      </w:r>
    </w:p>
  </w:footnote>
  <w:footnote w:id="10">
    <w:p w14:paraId="7D646B0B" w14:textId="18D152A8" w:rsidR="00785EB8" w:rsidRDefault="00785EB8">
      <w:pPr>
        <w:pStyle w:val="FootnoteText"/>
      </w:pPr>
      <w:r>
        <w:rPr>
          <w:rStyle w:val="FootnoteReference"/>
        </w:rPr>
        <w:footnoteRef/>
      </w:r>
      <w:r>
        <w:t xml:space="preserve"> RCW 26.33.350(2); WAC 388-27-0090(1) (requirement for medical report in </w:t>
      </w:r>
      <w:r>
        <w:t xml:space="preserve">DCYF </w:t>
      </w:r>
      <w:r>
        <w:t xml:space="preserve">adoption). </w:t>
      </w:r>
    </w:p>
  </w:footnote>
  <w:footnote w:id="11">
    <w:p w14:paraId="106B770A" w14:textId="77777777" w:rsidR="00785EB8" w:rsidRDefault="00785EB8">
      <w:pPr>
        <w:pStyle w:val="FootnoteText"/>
      </w:pPr>
      <w:r>
        <w:rPr>
          <w:rStyle w:val="FootnoteReference"/>
        </w:rPr>
        <w:footnoteRef/>
      </w:r>
      <w:r>
        <w:t xml:space="preserve"> RCW 26.33.350(2).</w:t>
      </w:r>
    </w:p>
  </w:footnote>
  <w:footnote w:id="12">
    <w:p w14:paraId="05C27FCC" w14:textId="77777777" w:rsidR="00785EB8" w:rsidRDefault="00785EB8">
      <w:pPr>
        <w:pStyle w:val="FootnoteText"/>
      </w:pPr>
      <w:r>
        <w:rPr>
          <w:rStyle w:val="FootnoteReference"/>
        </w:rPr>
        <w:footnoteRef/>
      </w:r>
      <w:r>
        <w:t xml:space="preserve"> RCW 26.33.350(3).</w:t>
      </w:r>
    </w:p>
  </w:footnote>
  <w:footnote w:id="13">
    <w:p w14:paraId="11AD5B53" w14:textId="77777777" w:rsidR="00785EB8" w:rsidRDefault="00785EB8">
      <w:pPr>
        <w:pStyle w:val="FootnoteText"/>
      </w:pPr>
      <w:r>
        <w:rPr>
          <w:rStyle w:val="FootnoteReference"/>
        </w:rPr>
        <w:footnoteRef/>
      </w:r>
      <w:r>
        <w:t xml:space="preserve"> RCW 26.33.350(2).</w:t>
      </w:r>
    </w:p>
  </w:footnote>
  <w:footnote w:id="14">
    <w:p w14:paraId="42954B0E" w14:textId="77777777" w:rsidR="00785EB8" w:rsidRDefault="00785EB8">
      <w:pPr>
        <w:pStyle w:val="FootnoteText"/>
      </w:pPr>
      <w:r>
        <w:rPr>
          <w:rStyle w:val="FootnoteReference"/>
        </w:rPr>
        <w:footnoteRef/>
      </w:r>
      <w:r>
        <w:t xml:space="preserve"> WAC 388-27-0100(10).</w:t>
      </w:r>
    </w:p>
  </w:footnote>
  <w:footnote w:id="15">
    <w:p w14:paraId="746D31FF" w14:textId="77777777" w:rsidR="00785EB8" w:rsidRDefault="00785EB8" w:rsidP="0097175C">
      <w:pPr>
        <w:pStyle w:val="FootnoteText"/>
      </w:pPr>
      <w:r>
        <w:rPr>
          <w:rStyle w:val="FootnoteReference"/>
        </w:rPr>
        <w:footnoteRef/>
      </w:r>
      <w:r>
        <w:t xml:space="preserve"> RCW 26.33.350(4). </w:t>
      </w:r>
    </w:p>
  </w:footnote>
  <w:footnote w:id="16">
    <w:p w14:paraId="1C2402A5" w14:textId="77777777" w:rsidR="00785EB8" w:rsidRDefault="00785EB8" w:rsidP="0097175C">
      <w:pPr>
        <w:pStyle w:val="FootnoteText"/>
      </w:pPr>
      <w:r>
        <w:rPr>
          <w:rStyle w:val="FootnoteReference"/>
        </w:rPr>
        <w:footnoteRef/>
      </w:r>
      <w:r>
        <w:t xml:space="preserve"> This question is an ethical question and should be governed by traditional sources for guiding physician’s ethics. One source comes from the American Congress of Obstetricians and Gynecologists Committee on Ethics (Number 368, June 2007).</w:t>
      </w:r>
    </w:p>
  </w:footnote>
  <w:footnote w:id="17">
    <w:p w14:paraId="2C8622EC" w14:textId="77777777" w:rsidR="00785EB8" w:rsidRDefault="00785EB8">
      <w:pPr>
        <w:pStyle w:val="FootnoteText"/>
      </w:pPr>
      <w:r>
        <w:rPr>
          <w:rStyle w:val="FootnoteReference"/>
        </w:rPr>
        <w:footnoteRef/>
      </w:r>
      <w:r>
        <w:t xml:space="preserve"> RCW 26.33.380(1).</w:t>
      </w:r>
    </w:p>
  </w:footnote>
  <w:footnote w:id="18">
    <w:p w14:paraId="30F68D4E" w14:textId="0575AA98" w:rsidR="00785EB8" w:rsidRPr="00BA0FBB" w:rsidRDefault="00785EB8" w:rsidP="00BA0FBB">
      <w:pPr>
        <w:pStyle w:val="FootnoteText"/>
      </w:pPr>
      <w:r>
        <w:rPr>
          <w:rStyle w:val="FootnoteReference"/>
        </w:rPr>
        <w:footnoteRef/>
      </w:r>
      <w:r>
        <w:t xml:space="preserve"> Department of </w:t>
      </w:r>
      <w:r>
        <w:t>Children, Youth, and Families</w:t>
      </w:r>
      <w:r>
        <w:t xml:space="preserve"> resource guide. </w:t>
      </w:r>
      <w:hyperlink r:id="rId1" w:history="1">
        <w:r w:rsidRPr="00443E5F">
          <w:rPr>
            <w:rStyle w:val="Hyperlink"/>
          </w:rPr>
          <w:t>https://www.dcyf.wa.gov/services/adoption/resources</w:t>
        </w:r>
      </w:hyperlink>
      <w:r>
        <w:t xml:space="preserve"> </w:t>
      </w:r>
      <w:r>
        <w:t>(</w:t>
      </w:r>
      <w:r>
        <w:t>Last accessed July 9, 2018)</w:t>
      </w:r>
      <w:r w:rsidRPr="00BA0FBB">
        <w:t>.</w:t>
      </w:r>
      <w:r>
        <w:t xml:space="preserve"> See also, </w:t>
      </w:r>
      <w:r w:rsidRPr="00EB49A3">
        <w:t>https://www.dshs.wa.gov/ca/adoption-and-adoption-support/resources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F6"/>
    <w:rsid w:val="00063F64"/>
    <w:rsid w:val="00073518"/>
    <w:rsid w:val="000E1624"/>
    <w:rsid w:val="0010141A"/>
    <w:rsid w:val="00120460"/>
    <w:rsid w:val="001440AE"/>
    <w:rsid w:val="001625C8"/>
    <w:rsid w:val="0016284A"/>
    <w:rsid w:val="0017529C"/>
    <w:rsid w:val="001A5842"/>
    <w:rsid w:val="001F7EB7"/>
    <w:rsid w:val="002106BF"/>
    <w:rsid w:val="002233FC"/>
    <w:rsid w:val="00254251"/>
    <w:rsid w:val="00277E08"/>
    <w:rsid w:val="00295441"/>
    <w:rsid w:val="002B32B7"/>
    <w:rsid w:val="002B6B25"/>
    <w:rsid w:val="002E5EDA"/>
    <w:rsid w:val="003B366D"/>
    <w:rsid w:val="003D50FB"/>
    <w:rsid w:val="004031C9"/>
    <w:rsid w:val="00411AB9"/>
    <w:rsid w:val="00443E5F"/>
    <w:rsid w:val="004559CF"/>
    <w:rsid w:val="00477799"/>
    <w:rsid w:val="00483903"/>
    <w:rsid w:val="00502175"/>
    <w:rsid w:val="00515653"/>
    <w:rsid w:val="005200AC"/>
    <w:rsid w:val="00537B5C"/>
    <w:rsid w:val="00567CB4"/>
    <w:rsid w:val="00573539"/>
    <w:rsid w:val="005A5CA7"/>
    <w:rsid w:val="005A68B8"/>
    <w:rsid w:val="005B2ED5"/>
    <w:rsid w:val="005B5EDE"/>
    <w:rsid w:val="00640CDD"/>
    <w:rsid w:val="00667B59"/>
    <w:rsid w:val="006732D4"/>
    <w:rsid w:val="006738E0"/>
    <w:rsid w:val="006F0695"/>
    <w:rsid w:val="007820EC"/>
    <w:rsid w:val="00784502"/>
    <w:rsid w:val="00785EB8"/>
    <w:rsid w:val="0083771F"/>
    <w:rsid w:val="00840B79"/>
    <w:rsid w:val="00860BE3"/>
    <w:rsid w:val="00874961"/>
    <w:rsid w:val="0087703C"/>
    <w:rsid w:val="008B3924"/>
    <w:rsid w:val="008D245A"/>
    <w:rsid w:val="00914CA4"/>
    <w:rsid w:val="0097175C"/>
    <w:rsid w:val="009975D4"/>
    <w:rsid w:val="009B326E"/>
    <w:rsid w:val="009C36DC"/>
    <w:rsid w:val="009F5A37"/>
    <w:rsid w:val="00A135FA"/>
    <w:rsid w:val="00A735F3"/>
    <w:rsid w:val="00A83DDD"/>
    <w:rsid w:val="00AB3DBF"/>
    <w:rsid w:val="00AB68E7"/>
    <w:rsid w:val="00BA0FBB"/>
    <w:rsid w:val="00BB3542"/>
    <w:rsid w:val="00CE0291"/>
    <w:rsid w:val="00CF0685"/>
    <w:rsid w:val="00CF392C"/>
    <w:rsid w:val="00D139E4"/>
    <w:rsid w:val="00D520F3"/>
    <w:rsid w:val="00D71893"/>
    <w:rsid w:val="00D82398"/>
    <w:rsid w:val="00D87C5B"/>
    <w:rsid w:val="00DE057F"/>
    <w:rsid w:val="00E03919"/>
    <w:rsid w:val="00E50D34"/>
    <w:rsid w:val="00E77524"/>
    <w:rsid w:val="00EB3D43"/>
    <w:rsid w:val="00EB49A3"/>
    <w:rsid w:val="00ED3E28"/>
    <w:rsid w:val="00ED3F90"/>
    <w:rsid w:val="00F247A0"/>
    <w:rsid w:val="00F56474"/>
    <w:rsid w:val="00F61253"/>
    <w:rsid w:val="00F64867"/>
    <w:rsid w:val="00F732FE"/>
    <w:rsid w:val="00F77E42"/>
    <w:rsid w:val="00FB11F6"/>
    <w:rsid w:val="00FB7C6D"/>
    <w:rsid w:val="00FC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0FEB"/>
  <w15:docId w15:val="{43FDDA03-92E3-434A-A7F1-E6250A09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1F6"/>
    <w:pPr>
      <w:spacing w:after="0" w:line="240" w:lineRule="auto"/>
      <w:jc w:val="both"/>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qFormat/>
    <w:rsid w:val="00FB11F6"/>
    <w:pPr>
      <w:keepNext/>
      <w:keepLines/>
      <w:widowControl w:val="0"/>
      <w:jc w:val="center"/>
      <w:outlineLvl w:val="0"/>
    </w:pPr>
    <w:rPr>
      <w:b/>
      <w:kern w:val="28"/>
    </w:rPr>
  </w:style>
  <w:style w:type="paragraph" w:styleId="Heading2">
    <w:name w:val="heading 2"/>
    <w:basedOn w:val="Normal"/>
    <w:next w:val="Normal"/>
    <w:link w:val="Heading2Char"/>
    <w:qFormat/>
    <w:rsid w:val="00FB11F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11F6"/>
    <w:rPr>
      <w:rFonts w:ascii="Times New Roman" w:eastAsia="Times New Roman" w:hAnsi="Times New Roman" w:cs="Times New Roman"/>
      <w:b/>
      <w:snapToGrid w:val="0"/>
      <w:kern w:val="28"/>
      <w:sz w:val="24"/>
      <w:szCs w:val="20"/>
    </w:rPr>
  </w:style>
  <w:style w:type="character" w:customStyle="1" w:styleId="Heading2Char">
    <w:name w:val="Heading 2 Char"/>
    <w:basedOn w:val="DefaultParagraphFont"/>
    <w:link w:val="Heading2"/>
    <w:rsid w:val="00FB11F6"/>
    <w:rPr>
      <w:rFonts w:ascii="Times New Roman" w:eastAsia="Times New Roman" w:hAnsi="Times New Roman" w:cs="Times New Roman"/>
      <w:b/>
      <w:snapToGrid w:val="0"/>
      <w:sz w:val="24"/>
      <w:szCs w:val="20"/>
    </w:rPr>
  </w:style>
  <w:style w:type="paragraph" w:styleId="ListBullet">
    <w:name w:val="List Bullet"/>
    <w:basedOn w:val="Normal"/>
    <w:next w:val="Normal"/>
    <w:autoRedefine/>
    <w:semiHidden/>
    <w:rsid w:val="00FB11F6"/>
    <w:pPr>
      <w:numPr>
        <w:numId w:val="1"/>
      </w:numPr>
    </w:pPr>
  </w:style>
  <w:style w:type="paragraph" w:styleId="FootnoteText">
    <w:name w:val="footnote text"/>
    <w:basedOn w:val="Normal"/>
    <w:link w:val="FootnoteTextChar"/>
    <w:uiPriority w:val="99"/>
    <w:semiHidden/>
    <w:unhideWhenUsed/>
    <w:rsid w:val="00FB11F6"/>
    <w:rPr>
      <w:sz w:val="20"/>
    </w:rPr>
  </w:style>
  <w:style w:type="character" w:customStyle="1" w:styleId="FootnoteTextChar">
    <w:name w:val="Footnote Text Char"/>
    <w:basedOn w:val="DefaultParagraphFont"/>
    <w:link w:val="FootnoteText"/>
    <w:uiPriority w:val="99"/>
    <w:semiHidden/>
    <w:rsid w:val="00FB11F6"/>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FB11F6"/>
    <w:rPr>
      <w:vertAlign w:val="superscript"/>
    </w:rPr>
  </w:style>
  <w:style w:type="character" w:styleId="Hyperlink">
    <w:name w:val="Hyperlink"/>
    <w:basedOn w:val="DefaultParagraphFont"/>
    <w:uiPriority w:val="99"/>
    <w:unhideWhenUsed/>
    <w:rsid w:val="005B2ED5"/>
    <w:rPr>
      <w:color w:val="0000FF" w:themeColor="hyperlink"/>
      <w:u w:val="single"/>
    </w:rPr>
  </w:style>
  <w:style w:type="paragraph" w:styleId="BalloonText">
    <w:name w:val="Balloon Text"/>
    <w:basedOn w:val="Normal"/>
    <w:link w:val="BalloonTextChar"/>
    <w:uiPriority w:val="99"/>
    <w:semiHidden/>
    <w:unhideWhenUsed/>
    <w:rsid w:val="005B2ED5"/>
    <w:rPr>
      <w:rFonts w:ascii="Tahoma" w:hAnsi="Tahoma" w:cs="Tahoma"/>
      <w:sz w:val="16"/>
      <w:szCs w:val="16"/>
    </w:rPr>
  </w:style>
  <w:style w:type="character" w:customStyle="1" w:styleId="BalloonTextChar">
    <w:name w:val="Balloon Text Char"/>
    <w:basedOn w:val="DefaultParagraphFont"/>
    <w:link w:val="BalloonText"/>
    <w:uiPriority w:val="99"/>
    <w:semiHidden/>
    <w:rsid w:val="005B2ED5"/>
    <w:rPr>
      <w:rFonts w:ascii="Tahoma" w:eastAsia="Times New Roman" w:hAnsi="Tahoma" w:cs="Tahoma"/>
      <w:snapToGrid w:val="0"/>
      <w:sz w:val="16"/>
      <w:szCs w:val="16"/>
    </w:rPr>
  </w:style>
  <w:style w:type="character" w:styleId="UnresolvedMention">
    <w:name w:val="Unresolved Mention"/>
    <w:basedOn w:val="DefaultParagraphFont"/>
    <w:uiPriority w:val="99"/>
    <w:semiHidden/>
    <w:unhideWhenUsed/>
    <w:rsid w:val="00443E5F"/>
    <w:rPr>
      <w:color w:val="605E5C"/>
      <w:shd w:val="clear" w:color="auto" w:fill="E1DFDD"/>
    </w:rPr>
  </w:style>
  <w:style w:type="character" w:styleId="CommentReference">
    <w:name w:val="annotation reference"/>
    <w:basedOn w:val="DefaultParagraphFont"/>
    <w:uiPriority w:val="99"/>
    <w:semiHidden/>
    <w:unhideWhenUsed/>
    <w:rsid w:val="00F64867"/>
    <w:rPr>
      <w:sz w:val="16"/>
      <w:szCs w:val="16"/>
    </w:rPr>
  </w:style>
  <w:style w:type="paragraph" w:styleId="CommentText">
    <w:name w:val="annotation text"/>
    <w:basedOn w:val="Normal"/>
    <w:link w:val="CommentTextChar"/>
    <w:uiPriority w:val="99"/>
    <w:semiHidden/>
    <w:unhideWhenUsed/>
    <w:rsid w:val="00F64867"/>
    <w:rPr>
      <w:sz w:val="20"/>
    </w:rPr>
  </w:style>
  <w:style w:type="character" w:customStyle="1" w:styleId="CommentTextChar">
    <w:name w:val="Comment Text Char"/>
    <w:basedOn w:val="DefaultParagraphFont"/>
    <w:link w:val="CommentText"/>
    <w:uiPriority w:val="99"/>
    <w:semiHidden/>
    <w:rsid w:val="00F64867"/>
    <w:rPr>
      <w:rFonts w:ascii="Times New Roman" w:eastAsia="Times New Roman" w:hAnsi="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F64867"/>
    <w:rPr>
      <w:b/>
      <w:bCs/>
    </w:rPr>
  </w:style>
  <w:style w:type="character" w:customStyle="1" w:styleId="CommentSubjectChar">
    <w:name w:val="Comment Subject Char"/>
    <w:basedOn w:val="CommentTextChar"/>
    <w:link w:val="CommentSubject"/>
    <w:uiPriority w:val="99"/>
    <w:semiHidden/>
    <w:rsid w:val="00F64867"/>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dcyf.wa.gov/services/adoption/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87476-CA20-44A6-B094-0571E1D0F9E9}"/>
</file>

<file path=customXml/itemProps2.xml><?xml version="1.0" encoding="utf-8"?>
<ds:datastoreItem xmlns:ds="http://schemas.openxmlformats.org/officeDocument/2006/customXml" ds:itemID="{AE14B8B1-5F01-436B-9E6D-37657BA0954A}">
  <ds:schemaRefs>
    <ds:schemaRef ds:uri="7c8d31d5-d3f2-463c-92b0-433761b50097"/>
    <ds:schemaRef ds:uri="http://www.w3.org/XML/1998/namespace"/>
    <ds:schemaRef ds:uri="http://purl.org/dc/terms/"/>
    <ds:schemaRef ds:uri="f5b17cb8-fc94-4724-93c1-facedc69e0e3"/>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26818A1B-3E6F-4936-AFFC-B4CBF42103FC}">
  <ds:schemaRefs>
    <ds:schemaRef ds:uri="http://schemas.microsoft.com/sharepoint/v3/contenttype/forms"/>
  </ds:schemaRefs>
</ds:datastoreItem>
</file>

<file path=customXml/itemProps4.xml><?xml version="1.0" encoding="utf-8"?>
<ds:datastoreItem xmlns:ds="http://schemas.openxmlformats.org/officeDocument/2006/customXml" ds:itemID="{12596A61-D283-4C2F-81C0-CEBA7810F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610</Words>
  <Characters>3483</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kak</dc:creator>
  <cp:lastModifiedBy>Tierney Edwards</cp:lastModifiedBy>
  <cp:revision>2</cp:revision>
  <dcterms:created xsi:type="dcterms:W3CDTF">2018-07-20T19:23:00Z</dcterms:created>
  <dcterms:modified xsi:type="dcterms:W3CDTF">2018-07-20T19:23:00Z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