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after="240"/>
        <w:jc w:val="center"/>
      </w:pPr>
      <w:r>
        <w:rPr>
          <w:b w:val="on"/>
          <w:rFonts w:ascii="SimHei" w:hAnsi="SimHei" w:cs="SimHei" w:eastAsia="SimHei"/>
          <w:sz w:val="36"/>
        </w:rPr>
        <w:t>张甸角钢塔电费稽核说明</w:t>
      </w:r>
    </w:p>
    <w:p>
      <w:pPr>
        <w:spacing w:before="140" w:after="120"/>
      </w:pPr>
      <w:r>
        <w:rPr>
          <w:b w:val="on"/>
          <w:rFonts w:ascii="SimHei" w:hAnsi="SimHei" w:cs="SimHei" w:eastAsia="SimHei"/>
          <w:sz w:val="28"/>
        </w:rPr>
        <w:t>一、情况说明</w:t>
      </w:r>
    </w:p>
    <w:p>
      <w:pPr>
        <w:spacing w:before="40" w:after="80"/>
        <w:ind w:firstLine="480"/>
      </w:pPr>
      <w:r>
        <w:rPr>
          <w:b w:val="off"/>
          <w:rFonts w:ascii="SimSun" w:hAnsi="SimSun" w:cs="SimSun" w:eastAsia="SimSun"/>
          <w:sz w:val="24"/>
        </w:rPr>
        <w:t>报账点编码为ZDBZD-JS-2024-059889，账期为2026-06，本期总用电量1948.36度，环比、额定功率标杆正常，仅同比超标150.48%。</w:t>
      </w:r>
    </w:p>
    <w:p>
      <w:pPr>
        <w:spacing w:before="40" w:after="80"/>
        <w:ind w:firstLine="480"/>
      </w:pPr>
      <w:r>
        <w:drawing>
          <wp:inline distT="0" distR="0" distB="0" distL="0">
            <wp:extent cx="5334000" cy="2663920"/>
            <wp:docPr id="0" name="Drawing 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6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before="40" w:after="80"/>
        <w:ind w:firstLine="480"/>
      </w:pPr>
      <w:r>
        <w:drawing>
          <wp:inline distT="0" distR="0" distB="0" distL="0">
            <wp:extent cx="5334000" cy="2379216"/>
            <wp:docPr id="1" name="Drawing 1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7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before="140" w:after="120"/>
      </w:pPr>
      <w:r>
        <w:rPr>
          <w:b w:val="on"/>
          <w:rFonts w:ascii="SimHei" w:hAnsi="SimHei" w:cs="SimHei" w:eastAsia="SimHei"/>
          <w:sz w:val="28"/>
        </w:rPr>
        <w:t>二、排查分析</w:t>
      </w:r>
    </w:p>
    <w:p>
      <w:pPr>
        <w:spacing w:before="40" w:after="80"/>
        <w:ind w:firstLine="480"/>
      </w:pPr>
      <w:r>
        <w:rPr>
          <w:b w:val="off"/>
          <w:rFonts w:ascii="SimSun" w:hAnsi="SimSun" w:cs="SimSun" w:eastAsia="SimSun"/>
          <w:sz w:val="24"/>
        </w:rPr>
        <w:t>设备机柜现场图：电信共址搬迁后移动4G、5G设备与联通设备共柜运行。</w:t>
      </w:r>
    </w:p>
    <w:p>
      <w:pPr>
        <w:spacing w:before="40" w:after="80"/>
        <w:ind w:firstLine="480"/>
      </w:pPr>
      <w:r>
        <w:drawing>
          <wp:inline distT="0" distR="0" distB="0" distL="0">
            <wp:extent cx="2867025" cy="3819525"/>
            <wp:docPr id="2" name="Drawing 2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before="40" w:after="80"/>
        <w:ind w:firstLine="480"/>
      </w:pPr>
      <w:r>
        <w:rPr>
          <w:b w:val="off"/>
          <w:rFonts w:ascii="SimSun" w:hAnsi="SimSun" w:cs="SimSun" w:eastAsia="SimSun"/>
          <w:sz w:val="24"/>
        </w:rPr>
        <w:t>设备情况：移动5G电源-小区供电回路接线正常。</w:t>
      </w:r>
    </w:p>
    <w:p>
      <w:pPr>
        <w:spacing w:before="40" w:after="80"/>
        <w:ind w:firstLine="480"/>
      </w:pPr>
      <w:r>
        <w:drawing>
          <wp:inline distT="0" distR="0" distB="0" distL="0">
            <wp:extent cx="1943100" cy="2571750"/>
            <wp:docPr id="3" name="Drawing 3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before="40" w:after="80"/>
        <w:ind w:firstLine="480"/>
      </w:pPr>
      <w:r>
        <w:drawing>
          <wp:inline distT="0" distR="0" distB="0" distL="0">
            <wp:extent cx="1943100" cy="2571750"/>
            <wp:docPr id="4" name="Drawing 4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before="40" w:after="80"/>
        <w:ind w:firstLine="480"/>
      </w:pPr>
      <w:r>
        <w:rPr>
          <w:b w:val="off"/>
          <w:rFonts w:ascii="SimSun" w:hAnsi="SimSun" w:cs="SimSun" w:eastAsia="SimSun"/>
          <w:sz w:val="24"/>
        </w:rPr>
        <w:t>设备情况：联通RRU供电回路接线正常。</w:t>
      </w:r>
    </w:p>
    <w:p>
      <w:pPr>
        <w:spacing w:before="40" w:after="80"/>
        <w:ind w:firstLine="480"/>
      </w:pPr>
      <w:r>
        <w:drawing>
          <wp:inline distT="0" distR="0" distB="0" distL="0">
            <wp:extent cx="2124075" cy="2790825"/>
            <wp:docPr id="5" name="Drawing 5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before="40" w:after="80"/>
        <w:ind w:firstLine="480"/>
      </w:pPr>
      <w:r>
        <w:drawing>
          <wp:inline distT="0" distR="0" distB="0" distL="0">
            <wp:extent cx="2314575" cy="3000375"/>
            <wp:docPr id="6" name="Drawing 6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before="40" w:after="80"/>
        <w:ind w:firstLine="480"/>
      </w:pPr>
      <w:r>
        <w:drawing>
          <wp:inline distT="0" distR="0" distB="0" distL="0">
            <wp:extent cx="3181350" cy="2447925"/>
            <wp:docPr id="7" name="Drawing 7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before="40" w:after="80"/>
        <w:ind w:firstLine="480"/>
      </w:pPr>
      <w:r>
        <w:drawing>
          <wp:inline distT="0" distR="0" distB="0" distL="0">
            <wp:extent cx="3133725" cy="4200525"/>
            <wp:docPr id="8" name="Drawing 8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before="40" w:after="80"/>
        <w:ind w:firstLine="480"/>
      </w:pPr>
      <w:r>
        <w:rPr>
          <w:b w:val="off"/>
          <w:rFonts w:ascii="SimSun" w:hAnsi="SimSun" w:cs="SimSun" w:eastAsia="SimSun"/>
          <w:sz w:val="24"/>
        </w:rPr>
        <w:t>本期电量同比超标原因：</w:t>
      </w:r>
      <w:r>
        <w:rPr>
          <w:b w:val="off"/>
          <w:rFonts w:ascii="SimSun" w:hAnsi="SimSun" w:cs="SimSun" w:eastAsia="SimSun"/>
          <w:sz w:val="24"/>
        </w:rPr>
        <w:t>本期日均用电量64.95度，同比正常上限25.93度，超标150.48%。</w:t>
      </w:r>
      <w:r>
        <w:rPr>
          <w:b w:val="on"/>
          <w:rFonts w:ascii="SimHei" w:hAnsi="SimHei" w:cs="SimHei" w:eastAsia="SimHei"/>
          <w:sz w:val="24"/>
        </w:rPr>
        <w:t>经核查该站2025年10月开始改造，张甸电信局内电信共址搬迁，该点原用电为移动5G设备和联通设备共用，移动4G设备和电信设备所接电源为电信自有，搬迁后移动4G设备和5G设备都改至搬迁机柜内，本期电量同比增长因站址搬迁4G设备增加用电导致，去年同期（2025-06）为搬迁前基数偏低，本期移动分摊比例88.71%与上期一致，实际用电情况正常。</w:t>
      </w:r>
      <w:r>
        <w:rPr>
          <w:b w:val="off"/>
          <w:rFonts w:ascii="SimSun" w:hAnsi="SimSun" w:cs="SimSun" w:eastAsia="SimSun"/>
          <w:sz w:val="24"/>
        </w:rPr>
        <w:t>三费系统中对应额定功率标杆应为（4.101000KW+0.000000KW）*24小时*30天=2952.72度，实际总用电量1948.36度，额定功率未超标。</w:t>
      </w:r>
    </w:p>
    <w:p>
      <w:pPr>
        <w:spacing w:before="140" w:after="120"/>
      </w:pPr>
      <w:r>
        <w:rPr>
          <w:b w:val="on"/>
          <w:rFonts w:ascii="SimHei" w:hAnsi="SimHei" w:cs="SimHei" w:eastAsia="SimHei"/>
          <w:sz w:val="28"/>
        </w:rPr>
        <w:t>三、整改小结</w:t>
      </w:r>
    </w:p>
    <w:p>
      <w:pPr>
        <w:spacing w:before="40" w:after="80"/>
        <w:ind w:firstLine="480"/>
      </w:pPr>
      <w:r>
        <w:rPr>
          <w:b w:val="off"/>
          <w:rFonts w:ascii="SimSun" w:hAnsi="SimSun" w:cs="SimSun" w:eastAsia="SimSun"/>
          <w:sz w:val="24"/>
        </w:rPr>
        <w:t>综上，已完成核查，确认该站点</w:t>
      </w:r>
      <w:r>
        <w:rPr>
          <w:b w:val="on"/>
          <w:rFonts w:ascii="SimHei" w:hAnsi="SimHei" w:cs="SimHei" w:eastAsia="SimHei"/>
          <w:sz w:val="24"/>
        </w:rPr>
        <w:t>不存在用电量跑冒滴漏现象，不存在偷搭电问题</w:t>
      </w:r>
      <w:r>
        <w:rPr>
          <w:b w:val="off"/>
          <w:rFonts w:ascii="SimSun" w:hAnsi="SimSun" w:cs="SimSun" w:eastAsia="SimSun"/>
          <w:sz w:val="24"/>
        </w:rPr>
        <w:t>，确认该笔电费同比超标是因为</w:t>
      </w:r>
      <w:r>
        <w:rPr>
          <w:b w:val="on"/>
          <w:rFonts w:ascii="SimHei" w:hAnsi="SimHei" w:cs="SimHei" w:eastAsia="SimHei"/>
          <w:sz w:val="24"/>
        </w:rPr>
        <w:t>电信共址搬迁增加了移动4G设备电量、去年同期搬迁前基数偏低</w:t>
      </w:r>
      <w:r>
        <w:rPr>
          <w:b w:val="off"/>
          <w:rFonts w:ascii="SimSun" w:hAnsi="SimSun" w:cs="SimSun" w:eastAsia="SimSun"/>
          <w:sz w:val="24"/>
        </w:rPr>
        <w:t>导致，经测算分析判断</w:t>
      </w:r>
      <w:r>
        <w:rPr>
          <w:b w:val="on"/>
          <w:rFonts w:ascii="SimHei" w:hAnsi="SimHei" w:cs="SimHei" w:eastAsia="SimHei"/>
          <w:sz w:val="24"/>
        </w:rPr>
        <w:t>实际用电情况正常</w:t>
      </w:r>
      <w:r>
        <w:rPr>
          <w:b w:val="off"/>
          <w:rFonts w:ascii="SimSun" w:hAnsi="SimSun" w:cs="SimSun" w:eastAsia="SimSun"/>
          <w:sz w:val="24"/>
        </w:rPr>
        <w:t>。</w:t>
      </w:r>
    </w:p>
    <w:p>
      <w:pPr>
        <w:spacing w:before="80" w:after="120"/>
        <w:jc w:val="center"/>
      </w:pPr>
      <w:r>
        <w:drawing>
          <wp:inline distT="0" distR="0" distB="0" distL="0">
            <wp:extent cx="1943100" cy="2571750"/>
            <wp:docPr id="9" name="Drawing 9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120"/>
        <w:jc w:val="center"/>
      </w:pPr>
      <w:r>
        <w:drawing>
          <wp:inline distT="0" distR="0" distB="0" distL="0">
            <wp:extent cx="2124075" cy="2790825"/>
            <wp:docPr id="10" name="Drawing 1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120"/>
        <w:jc w:val="center"/>
      </w:pPr>
      <w:r>
        <w:drawing>
          <wp:inline distT="0" distR="0" distB="0" distL="0">
            <wp:extent cx="2314575" cy="3000375"/>
            <wp:docPr id="11" name="Drawing 11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120"/>
        <w:jc w:val="center"/>
      </w:pPr>
      <w:r>
        <w:drawing>
          <wp:inline distT="0" distR="0" distB="0" distL="0">
            <wp:extent cx="3181350" cy="2447925"/>
            <wp:docPr id="12" name="Drawing 12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age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120"/>
        <w:jc w:val="center"/>
      </w:pPr>
      <w:r>
        <w:drawing>
          <wp:inline distT="0" distR="0" distB="0" distL="0">
            <wp:extent cx="2867025" cy="3819525"/>
            <wp:docPr id="13" name="Drawing 13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120"/>
        <w:jc w:val="center"/>
      </w:pPr>
      <w:r>
        <w:drawing>
          <wp:inline distT="0" distR="0" distB="0" distL="0">
            <wp:extent cx="1943100" cy="2571750"/>
            <wp:docPr id="14" name="Drawing 14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mage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120"/>
        <w:jc w:val="center"/>
      </w:pPr>
      <w:r>
        <w:drawing>
          <wp:inline distT="0" distR="0" distB="0" distL="0">
            <wp:extent cx="2124075" cy="2790825"/>
            <wp:docPr id="15" name="Drawing 15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mage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120"/>
        <w:jc w:val="center"/>
      </w:pPr>
      <w:r>
        <w:drawing>
          <wp:inline distT="0" distR="0" distB="0" distL="0">
            <wp:extent cx="2314575" cy="3000375"/>
            <wp:docPr id="16" name="Drawing 16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age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120"/>
        <w:jc w:val="center"/>
      </w:pPr>
      <w:r>
        <w:drawing>
          <wp:inline distT="0" distR="0" distB="0" distL="0">
            <wp:extent cx="3181350" cy="2447925"/>
            <wp:docPr id="17" name="Drawing 17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120"/>
        <w:jc w:val="center"/>
      </w:pPr>
      <w:r>
        <w:drawing>
          <wp:inline distT="0" distR="0" distB="0" distL="0">
            <wp:extent cx="3133725" cy="4200525"/>
            <wp:docPr id="18" name="Drawing 18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mage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png" Type="http://schemas.openxmlformats.org/officeDocument/2006/relationships/image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2026-08-26T08:07:48Z</dcterms:created>
  <dc:creator>Apache POI</dc:creator>
</cp:coreProperties>
</file>