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240"/>
        <w:jc w:val="center"/>
      </w:pPr>
      <w:r>
        <w:rPr>
          <w:b w:val="on"/>
          <w:rFonts w:ascii="SimHei" w:hAnsi="SimHei" w:cs="SimHei" w:eastAsia="SimHei"/>
          <w:sz w:val="36"/>
        </w:rPr>
        <w:t>江神化工铁塔资源点电费稽核说明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一、情况说明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报账点编码为ZDBZD-JS-2019-014558，账期为2025-10，本期总用电量4594.58度，环比、额定功率标杆正常，仅同比超标9.87%。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84638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R="0" distB="0" distL="0">
            <wp:extent cx="5334000" cy="2828636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2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二、排查分析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设备情况：现场设备供电端子接线正常。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设备情况：现场配电开关箱、移动4G设备供电回路及机房设备接线正常。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R="0" distB="0" distL="0">
            <wp:extent cx="1352550" cy="1800225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R="0" distB="0" distL="0">
            <wp:extent cx="1352550" cy="1800225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设备情况：现场断路器组及供电回路接线正常。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设备情况：现场4G设备供电回路及设备供电端子接线正常。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R="0" distB="0" distL="0">
            <wp:extent cx="2400300" cy="1800225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设备情况：现场机柜电源走线规范，700M等小区供电回路及机柜设备接线正常。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R="0" distB="0" distL="0">
            <wp:extent cx="2400300" cy="1800225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R="0" distB="0" distL="0">
            <wp:extent cx="1352550" cy="1800225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本期电量同比超标原因：</w:t>
      </w:r>
      <w:r>
        <w:rPr>
          <w:b w:val="off"/>
          <w:rFonts w:ascii="SimSun" w:hAnsi="SimSun" w:cs="SimSun" w:eastAsia="SimSun"/>
          <w:sz w:val="24"/>
        </w:rPr>
        <w:t>本期日均用电量148.21度，同比正常上限134.89度，超标9.87%。</w:t>
      </w:r>
      <w:r>
        <w:rPr>
          <w:b w:val="on"/>
          <w:rFonts w:ascii="SimHei" w:hAnsi="SimHei" w:cs="SimHei" w:eastAsia="SimHei"/>
          <w:sz w:val="24"/>
        </w:rPr>
        <w:t>华东油脂搬迁站点2024年11月1日由转供电改为直供电，与江神化工站点合并使用一个电表，设备合并后总电量上升，去年同期基数偏低，导致本期电量同比超标，实际用电情况正常。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三、整改小结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综上分析，已完成核查，确认该站点</w:t>
      </w:r>
      <w:r>
        <w:rPr>
          <w:b w:val="on"/>
          <w:rFonts w:ascii="SimHei" w:hAnsi="SimHei" w:cs="SimHei" w:eastAsia="SimHei"/>
          <w:sz w:val="24"/>
        </w:rPr>
        <w:t>不存在用电量跑冒滴漏现象，不存在偷搭电问题</w:t>
      </w:r>
      <w:r>
        <w:rPr>
          <w:b w:val="off"/>
          <w:rFonts w:ascii="SimSun" w:hAnsi="SimSun" w:cs="SimSun" w:eastAsia="SimSun"/>
          <w:sz w:val="24"/>
        </w:rPr>
        <w:t>，同比超标是</w:t>
      </w:r>
      <w:r>
        <w:rPr>
          <w:b w:val="on"/>
          <w:rFonts w:ascii="SimHei" w:hAnsi="SimHei" w:cs="SimHei" w:eastAsia="SimHei"/>
          <w:sz w:val="24"/>
        </w:rPr>
        <w:t>华东油脂搬迁站点转改直与江神化工合并使用一个电表、去年同期基数偏低导致</w:t>
      </w:r>
      <w:r>
        <w:rPr>
          <w:b w:val="off"/>
          <w:rFonts w:ascii="SimSun" w:hAnsi="SimSun" w:cs="SimSun" w:eastAsia="SimSun"/>
          <w:sz w:val="24"/>
        </w:rPr>
        <w:t>，经测算分析判断</w:t>
      </w:r>
      <w:r>
        <w:rPr>
          <w:b w:val="on"/>
          <w:rFonts w:ascii="SimHei" w:hAnsi="SimHei" w:cs="SimHei" w:eastAsia="SimHei"/>
          <w:sz w:val="24"/>
        </w:rPr>
        <w:t>实际用电情况正常</w:t>
      </w:r>
      <w:r>
        <w:rPr>
          <w:b w:val="off"/>
          <w:rFonts w:ascii="SimSun" w:hAnsi="SimSun" w:cs="SimSun" w:eastAsia="SimSun"/>
          <w:sz w:val="24"/>
        </w:rPr>
        <w:t>。</w:t>
      </w:r>
    </w:p>
    <w:p>
      <w:pPr>
        <w:spacing w:before="80" w:after="120"/>
        <w:jc w:val="center"/>
      </w:pPr>
      <w:r>
        <w:drawing>
          <wp:inline distT="0" distR="0" distB="0" distL="0">
            <wp:extent cx="1352550" cy="1800225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1352550" cy="1800225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distT="0" distR="0" distB="0" distL="0">
            <wp:extent cx="1352550" cy="1800225"/>
            <wp:docPr id="14" name="Drawing 1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2026-08-26T07:52:38Z</dcterms:created>
  <dc:creator>Apache POI</dc:creator>
</cp:coreProperties>
</file>