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140" w:after="120"/>
        <w:jc w:val="center"/>
      </w:pPr>
      <w:r>
        <w:rPr>
          <w:b w:val="on"/>
          <w:rFonts w:ascii="SimHei" w:hAnsi="SimHei" w:cs="SimHei" w:eastAsia="SimHei"/>
          <w:sz w:val="36"/>
        </w:rPr>
        <w:t>&lt;h1&gt;陈堡花沈搬迁电费稽核说明&lt;/h1&gt;</w:t>
      </w:r>
    </w:p>
    <w:p>
      <w:pPr>
        <w:spacing w:before="140" w:after="120"/>
      </w:pPr>
      <w:r>
        <w:rPr>
          <w:b w:val="on"/>
          <w:rFonts w:ascii="SimHei" w:hAnsi="SimHei" w:cs="SimHei" w:eastAsia="SimHei"/>
          <w:sz w:val="28"/>
        </w:rPr>
        <w:t>一、情况说明</w:t>
      </w:r>
    </w:p>
    <w:p>
      <w:pPr>
        <w:spacing w:before="40" w:after="80"/>
        <w:ind w:firstLine="480"/>
      </w:pPr>
      <w:r>
        <w:rPr>
          <w:b w:val="off"/>
          <w:rFonts w:ascii="SimSun" w:hAnsi="SimSun" w:cs="SimSun" w:eastAsia="SimSun"/>
          <w:sz w:val="24"/>
        </w:rPr>
        <w:t>报账点编码为ZDBZD-JS-2019-103102，账期为2026-01，本期实际总用电量1367.4度，日均用电量44.11度，同比、环比标杆均正常，额定功率标杆1074.51度，高于上限超标27.26%，系统稽核结果为额定标杆超标。</w:t>
      </w:r>
    </w:p>
    <w:p>
      <w:pPr>
        <w:spacing w:before="40" w:after="80"/>
        <w:ind w:firstLine="480"/>
      </w:pPr>
      <w:r>
        <w:drawing>
          <wp:inline distT="0" distR="0" distB="0" distL="0">
            <wp:extent cx="5334000" cy="2448997"/>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2"/>
                    <a:stretch>
                      <a:fillRect/>
                    </a:stretch>
                  </pic:blipFill>
                  <pic:spPr>
                    <a:xfrm>
                      <a:off x="0" y="0"/>
                      <a:ext cx="5334000" cy="2448997"/>
                    </a:xfrm>
                    <a:prstGeom prst="rect">
                      <a:avLst/>
                    </a:prstGeom>
                  </pic:spPr>
                </pic:pic>
              </a:graphicData>
            </a:graphic>
          </wp:inline>
        </w:drawing>
      </w:r>
      <w:r>
        <w:t xml:space="preserve"> </w:t>
      </w:r>
    </w:p>
    <w:p>
      <w:pPr>
        <w:spacing w:before="40" w:after="80"/>
        <w:ind w:firstLine="480"/>
      </w:pPr>
      <w:r>
        <w:drawing>
          <wp:inline distT="0" distR="0" distB="0" distL="0">
            <wp:extent cx="5334000" cy="2436867"/>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3"/>
                    <a:stretch>
                      <a:fillRect/>
                    </a:stretch>
                  </pic:blipFill>
                  <pic:spPr>
                    <a:xfrm>
                      <a:off x="0" y="0"/>
                      <a:ext cx="5334000" cy="2436867"/>
                    </a:xfrm>
                    <a:prstGeom prst="rect">
                      <a:avLst/>
                    </a:prstGeom>
                  </pic:spPr>
                </pic:pic>
              </a:graphicData>
            </a:graphic>
          </wp:inline>
        </w:drawing>
      </w:r>
      <w:r>
        <w:t xml:space="preserve"> </w:t>
      </w:r>
    </w:p>
    <w:p>
      <w:pPr>
        <w:spacing w:before="140" w:after="120"/>
      </w:pPr>
      <w:r>
        <w:rPr>
          <w:b w:val="on"/>
          <w:rFonts w:ascii="SimHei" w:hAnsi="SimHei" w:cs="SimHei" w:eastAsia="SimHei"/>
          <w:sz w:val="28"/>
        </w:rPr>
        <w:t>二、排查分析</w:t>
      </w:r>
    </w:p>
    <w:p>
      <w:pPr>
        <w:spacing w:before="40" w:after="80"/>
        <w:ind w:firstLine="480"/>
      </w:pPr>
      <w:r>
        <w:rPr>
          <w:b w:val="off"/>
          <w:rFonts w:ascii="SimSun" w:hAnsi="SimSun" w:cs="SimSun" w:eastAsia="SimSun"/>
          <w:sz w:val="24"/>
        </w:rPr>
        <w:t>机房全景图：</w:t>
      </w:r>
    </w:p>
    <w:p>
      <w:pPr>
        <w:spacing w:before="40" w:after="80"/>
        <w:ind w:firstLine="480"/>
      </w:pPr>
      <w:r>
        <w:rPr>
          <w:b w:val="off"/>
          <w:rFonts w:ascii="SimSun" w:hAnsi="SimSun" w:cs="SimSun" w:eastAsia="SimSun"/>
          <w:sz w:val="24"/>
        </w:rPr>
        <w:t>设备情况：移动：华为BBU+RRU、5G华为AAU5639。</w:t>
      </w:r>
    </w:p>
    <w:p>
      <w:pPr>
        <w:spacing w:before="40" w:after="80"/>
        <w:ind w:firstLine="480"/>
      </w:pPr>
      <w:r>
        <w:drawing>
          <wp:inline distT="0" distR="0" distB="0" distL="0">
            <wp:extent cx="1781175" cy="2371725"/>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4"/>
                    <a:stretch>
                      <a:fillRect/>
                    </a:stretch>
                  </pic:blipFill>
                  <pic:spPr>
                    <a:xfrm>
                      <a:off x="0" y="0"/>
                      <a:ext cx="1781175" cy="2371725"/>
                    </a:xfrm>
                    <a:prstGeom prst="rect">
                      <a:avLst/>
                    </a:prstGeom>
                  </pic:spPr>
                </pic:pic>
              </a:graphicData>
            </a:graphic>
          </wp:inline>
        </w:drawing>
      </w:r>
      <w:r>
        <w:t xml:space="preserve"> </w:t>
      </w:r>
    </w:p>
    <w:tbl>
      <w:tblPr>
        <w:tblW w:w="5000" w:type="pct"/>
        <w:tblBorders>
          <w:top w:val="single"/>
          <w:top w:val="nil"/>
          <w:left w:val="single"/>
          <w:left w:val="nil"/>
          <w:bottom w:val="single"/>
          <w:bottom w:val="nil"/>
          <w:right w:val="single"/>
          <w:right w:val="nil"/>
          <w:insideH w:val="single"/>
          <w:insideH w:val="nil"/>
          <w:insideV w:val="single"/>
          <w:insideV w:val="nil"/>
        </w:tblBorders>
        <w:tblCellMar/>
      </w:tblPr>
      <w:tr>
        <w:tc>
          <w:tcPr>
            <w:vAlign w:val="center"/>
            <w:vAlign w:val="center"/>
          </w:tcPr>
          <w:p>
            <w:pPr>
              <w:spacing w:before="0" w:after="0"/>
              <w:ind w:firstLine="0"/>
              <w:jc w:val="center"/>
            </w:pPr>
            <w:r>
              <w:drawing>
                <wp:inline distT="0" distR="0" distB="0" distL="0">
                  <wp:extent cx="1743075" cy="2324100"/>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5"/>
                          <a:stretch>
                            <a:fillRect/>
                          </a:stretch>
                        </pic:blipFill>
                        <pic:spPr>
                          <a:xfrm>
                            <a:off x="0" y="0"/>
                            <a:ext cx="1743075" cy="2324100"/>
                          </a:xfrm>
                          <a:prstGeom prst="rect">
                            <a:avLst/>
                          </a:prstGeom>
                        </pic:spPr>
                      </pic:pic>
                    </a:graphicData>
                  </a:graphic>
                </wp:inline>
              </w:drawing>
            </w:r>
          </w:p>
        </w:tc>
        <w:tc>
          <w:tcPr>
            <w:vAlign w:val="center"/>
            <w:vAlign w:val="center"/>
          </w:tcPr>
          <w:p>
            <w:pPr>
              <w:spacing w:before="0" w:after="0"/>
              <w:ind w:firstLine="0"/>
              <w:jc w:val="center"/>
            </w:pPr>
            <w:r>
              <w:drawing>
                <wp:inline distT="0" distR="0" distB="0" distL="0">
                  <wp:extent cx="1428750" cy="1895475"/>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6"/>
                          <a:stretch>
                            <a:fillRect/>
                          </a:stretch>
                        </pic:blipFill>
                        <pic:spPr>
                          <a:xfrm>
                            <a:off x="0" y="0"/>
                            <a:ext cx="1428750" cy="1895475"/>
                          </a:xfrm>
                          <a:prstGeom prst="rect">
                            <a:avLst/>
                          </a:prstGeom>
                        </pic:spPr>
                      </pic:pic>
                    </a:graphicData>
                  </a:graphic>
                </wp:inline>
              </w:drawing>
            </w:r>
          </w:p>
        </w:tc>
      </w:tr>
    </w:tbl>
    <w:p>
      <w:pPr>
        <w:spacing w:before="40" w:after="80"/>
        <w:ind w:firstLine="480"/>
      </w:pPr>
      <w:r>
        <w:drawing>
          <wp:inline distT="0" distR="0" distB="0" distL="0">
            <wp:extent cx="5286375" cy="2009775"/>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7"/>
                    <a:stretch>
                      <a:fillRect/>
                    </a:stretch>
                  </pic:blipFill>
                  <pic:spPr>
                    <a:xfrm>
                      <a:off x="0" y="0"/>
                      <a:ext cx="5286375" cy="2009775"/>
                    </a:xfrm>
                    <a:prstGeom prst="rect">
                      <a:avLst/>
                    </a:prstGeom>
                  </pic:spPr>
                </pic:pic>
              </a:graphicData>
            </a:graphic>
          </wp:inline>
        </w:drawing>
      </w:r>
      <w:r>
        <w:t xml:space="preserve"> </w:t>
      </w:r>
    </w:p>
    <w:p>
      <w:pPr>
        <w:spacing w:before="40" w:after="80"/>
        <w:ind w:firstLine="480"/>
      </w:pPr>
      <w:r>
        <w:rPr>
          <w:b w:val="off"/>
          <w:rFonts w:ascii="SimSun" w:hAnsi="SimSun" w:cs="SimSun" w:eastAsia="SimSun"/>
          <w:sz w:val="24"/>
        </w:rPr>
        <w:t>三费系统中对应额定功率标杆应为（2.549000KW）*24小时*31天=1074.5096度，本期实际总用电量1367.4度，高于额定标杆27.26%；本期日均用电量44.11度，同比、环比标杆均在正常范围内。</w:t>
      </w:r>
    </w:p>
    <w:p>
      <w:pPr>
        <w:spacing w:before="40" w:after="80"/>
        <w:ind w:firstLine="480"/>
      </w:pPr>
      <w:r>
        <w:rPr>
          <w:b w:val="off"/>
          <w:rFonts w:ascii="SimSun" w:hAnsi="SimSun" w:cs="SimSun" w:eastAsia="SimSun"/>
          <w:sz w:val="24"/>
        </w:rPr>
        <w:t>本期额定标杆超标原因：</w:t>
      </w:r>
      <w:r>
        <w:rPr>
          <w:b w:val="on"/>
          <w:rFonts w:ascii="SimHei" w:hAnsi="SimHei" w:cs="SimHei" w:eastAsia="SimHei"/>
          <w:sz w:val="24"/>
        </w:rPr>
        <w:t>资管系统未及时更新，现场设备功率未完整纳入系统额定功率台账，导致额定功率标杆偏低；现场设备在网运行正常，实际用电情况正常。</w:t>
      </w:r>
    </w:p>
    <w:p>
      <w:pPr>
        <w:spacing w:before="140" w:after="120"/>
      </w:pPr>
      <w:r>
        <w:rPr>
          <w:b w:val="on"/>
          <w:rFonts w:ascii="SimHei" w:hAnsi="SimHei" w:cs="SimHei" w:eastAsia="SimHei"/>
          <w:sz w:val="28"/>
        </w:rPr>
        <w:t>三、整改小结</w:t>
      </w:r>
    </w:p>
    <w:p>
      <w:pPr>
        <w:spacing w:before="40" w:after="80"/>
        <w:ind w:firstLine="480"/>
      </w:pPr>
      <w:r>
        <w:rPr>
          <w:b w:val="off"/>
          <w:rFonts w:ascii="SimSun" w:hAnsi="SimSun" w:cs="SimSun" w:eastAsia="SimSun"/>
          <w:sz w:val="24"/>
        </w:rPr>
        <w:t>综上分析，已完成核查，确认该站点</w:t>
      </w:r>
      <w:r>
        <w:rPr>
          <w:b w:val="on"/>
          <w:rFonts w:ascii="SimHei" w:hAnsi="SimHei" w:cs="SimHei" w:eastAsia="SimHei"/>
          <w:sz w:val="24"/>
        </w:rPr>
        <w:t>不存在用电量跑冒滴漏现象，不存在偷搭电问题，确认该笔电费额定功率标杆超标是因为资管系统未及时更新导致额定功率标杆偏低</w:t>
      </w:r>
      <w:r>
        <w:rPr>
          <w:b w:val="off"/>
          <w:rFonts w:ascii="SimSun" w:hAnsi="SimSun" w:cs="SimSun" w:eastAsia="SimSun"/>
          <w:sz w:val="24"/>
        </w:rPr>
        <w:t>，经测算分析判断</w:t>
      </w:r>
      <w:r>
        <w:rPr>
          <w:b w:val="on"/>
          <w:rFonts w:ascii="SimHei" w:hAnsi="SimHei" w:cs="SimHei" w:eastAsia="SimHei"/>
          <w:sz w:val="24"/>
        </w:rPr>
        <w:t>实际用电情况正常。</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2026-08-27T10:30:25Z</dcterms:created>
  <dc:creator>Apache POI</dc:creator>
</cp:coreProperties>
</file>