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E7356">
      <w:pPr>
        <w:widowControl/>
        <w:jc w:val="center"/>
        <w:rPr>
          <w:rFonts w:hint="eastAsia" w:ascii="宋体" w:hAnsi="宋体" w:eastAsia="宋体" w:cs="宋体"/>
          <w:b/>
          <w:bCs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000000"/>
          <w:sz w:val="32"/>
          <w:szCs w:val="32"/>
        </w:rPr>
        <w:t>巨腾药业电费稽核说明</w:t>
      </w:r>
    </w:p>
    <w:p w14:paraId="2A0BDBE9"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一．情况说明：</w:t>
      </w:r>
    </w:p>
    <w:p w14:paraId="4E02851D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2411095"/>
            <wp:effectExtent l="0" t="0" r="381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411095"/>
            <wp:effectExtent l="0" t="0" r="381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99FDC9"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二．排查分析：</w:t>
      </w:r>
    </w:p>
    <w:p w14:paraId="2786572E">
      <w:pPr>
        <w:rPr>
          <w:rFonts w:hint="eastAsia"/>
        </w:rPr>
      </w:pPr>
      <w:r>
        <w:rPr>
          <w:rFonts w:hint="eastAsia"/>
        </w:rPr>
        <w:t>移动RRU-6/AAU-3/700M-3 电信AAU-3/RRU-5</w:t>
      </w:r>
    </w:p>
    <w:p w14:paraId="07F46FFE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drawing>
          <wp:inline distT="0" distB="0" distL="114300" distR="114300">
            <wp:extent cx="3014345" cy="2160270"/>
            <wp:effectExtent l="0" t="0" r="825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b="4437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eastAsia="zh-CN"/>
        </w:rPr>
        <w:drawing>
          <wp:inline distT="0" distB="0" distL="114300" distR="114300">
            <wp:extent cx="1675130" cy="2160270"/>
            <wp:effectExtent l="0" t="0" r="1270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b="3288"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905ADD">
      <w:pPr>
        <w:rPr>
          <w:rFonts w:hint="eastAsia"/>
        </w:rPr>
      </w:pPr>
      <w:r>
        <w:rPr>
          <w:rFonts w:hint="eastAsia"/>
          <w:b/>
          <w:bCs/>
          <w:lang w:eastAsia="zh-CN"/>
        </w:rPr>
        <w:drawing>
          <wp:inline distT="0" distB="0" distL="114300" distR="114300">
            <wp:extent cx="1682750" cy="2160270"/>
            <wp:effectExtent l="0" t="0" r="6350" b="1143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b="3713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eastAsia="zh-CN"/>
        </w:rPr>
        <w:drawing>
          <wp:inline distT="0" distB="0" distL="114300" distR="114300">
            <wp:extent cx="3011805" cy="2160270"/>
            <wp:effectExtent l="0" t="0" r="10795" b="1143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b="4356"/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E1F513">
      <w:pPr>
        <w:rPr>
          <w:rFonts w:hint="eastAsia"/>
        </w:rPr>
      </w:pPr>
      <w:r>
        <w:rPr>
          <w:rFonts w:hint="eastAsia"/>
          <w:sz w:val="24"/>
          <w:szCs w:val="32"/>
        </w:rPr>
        <w:t>经现场核查，本期同比超标是由于业务量波动引起。</w:t>
      </w:r>
    </w:p>
    <w:p w14:paraId="772828E9">
      <w:pPr>
        <w:rPr>
          <w:rFonts w:hint="eastAsia"/>
        </w:rPr>
      </w:pPr>
    </w:p>
    <w:p w14:paraId="5540EBC9"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三．整改小结：</w:t>
      </w:r>
    </w:p>
    <w:p w14:paraId="7C9BDBA2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综上分析，已完成核查，确认该站点不存在用电量跑冒滴漏现象，不存在偷搭电问题，确认该笔电费同比标杆超标是因为业务量波动导致，经测算分析判断实际用电情况正常。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5M2UyZWI3NzE5NDc4MTMwZjE2ODY1MzA2MmYyN2QifQ=="/>
  </w:docVars>
  <w:rsids>
    <w:rsidRoot w:val="6C662E5F"/>
    <w:rsid w:val="0B9730BE"/>
    <w:rsid w:val="1E164317"/>
    <w:rsid w:val="26F471BF"/>
    <w:rsid w:val="28D451B7"/>
    <w:rsid w:val="325F0163"/>
    <w:rsid w:val="42211599"/>
    <w:rsid w:val="55031DAD"/>
    <w:rsid w:val="6C662E5F"/>
    <w:rsid w:val="7E75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</Words>
  <Characters>158</Characters>
  <Lines>0</Lines>
  <Paragraphs>0</Paragraphs>
  <TotalTime>7</TotalTime>
  <ScaleCrop>false</ScaleCrop>
  <LinksUpToDate>false</LinksUpToDate>
  <CharactersWithSpaces>161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2023-12-06T02:30:00Z</dcterms:created>
  <dc:creator>86138</dc:creator>
  <cp:lastModifiedBy>kirakira</cp:lastModifiedBy>
  <dcterms:modified xsi:type="dcterms:W3CDTF">2025-10-23T02:40:49Z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2C234465D2E248C1A1C647F00FCF9D4D_12</vt:lpwstr>
  </property>
  <property fmtid="{D5CDD505-2E9C-101B-9397-08002B2CF9AE}" pid="4" name="KSOTemplateDocerSaveRecord">
    <vt:lpwstr>eyJoZGlkIjoiMDA5M2UyZWI3NzE5NDc4MTMwZjE2ODY1MzA2MmYyN2QiLCJ1c2VySWQiOiI1Nzk2NjYzNTkifQ==</vt:lpwstr>
  </property>
</Properties>
</file>