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jc w:val="center"/>
      </w:pPr>
      <w:r>
        <w:rPr>
          <w:b w:val="on"/>
          <w:rFonts w:ascii="SimHei" w:hAnsi="SimHei" w:cs="SimHei" w:eastAsia="SimHei"/>
          <w:sz w:val="36"/>
        </w:rPr>
        <w:t>陈堡花沈搬迁电费稽核说明</w:t>
      </w:r>
    </w:p>
    <w:p>
      <w:r>
        <w:rPr>
          <w:b w:val="on"/>
          <w:rFonts w:ascii="SimHei" w:hAnsi="SimHei" w:cs="SimHei" w:eastAsia="SimHei"/>
          <w:sz w:val="28"/>
        </w:rPr>
        <w:t>一、情况说明</w:t>
      </w:r>
    </w:p>
    <w:p>
      <w:r>
        <w:rPr>
          <w:b w:val="off"/>
          <w:rFonts w:ascii="SimSun" w:hAnsi="SimSun" w:cs="SimSun" w:eastAsia="SimSun"/>
          <w:sz w:val="24"/>
        </w:rPr>
        <w:t>报账点编码ZDBZD-JS-2019-103102，账期2026-01，实际总用电量1367.4度，同比、环比正常，额定功率标杆超标27.26%。</w:t>
      </w:r>
    </w:p>
    <w:p>
      <w:pPr>
        <w:jc w:val="center"/>
      </w:pPr>
      <w:r>
        <w:drawing>
          <wp:inline distT="0" distR="0" distB="0" distL="0">
            <wp:extent cx="5334000" cy="3302000"/>
            <wp:docPr id="0" name="Drawing 0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mage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R="0" distB="0" distL="0">
            <wp:extent cx="5334000" cy="3302000"/>
            <wp:docPr id="1" name="Drawing 1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SimHei" w:hAnsi="SimHei" w:cs="SimHei" w:eastAsia="SimHei"/>
          <w:sz w:val="28"/>
        </w:rPr>
        <w:t>二、排查分析</w:t>
      </w:r>
    </w:p>
    <w:p>
      <w:r>
        <w:rPr>
          <w:b w:val="off"/>
          <w:rFonts w:ascii="SimSun" w:hAnsi="SimSun" w:cs="SimSun" w:eastAsia="SimSun"/>
          <w:sz w:val="24"/>
        </w:rPr>
        <w:t>机房全景图：</w:t>
      </w:r>
    </w:p>
    <w:p>
      <w:pPr>
        <w:jc w:val="center"/>
      </w:pPr>
      <w:r>
        <w:drawing>
          <wp:inline distT="0" distR="0" distB="0" distL="0">
            <wp:extent cx="5334000" cy="3302000"/>
            <wp:docPr id="2" name="Drawing 2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ff"/>
          <w:rFonts w:ascii="SimSun" w:hAnsi="SimSun" w:cs="SimSun" w:eastAsia="SimSun"/>
          <w:sz w:val="24"/>
        </w:rPr>
        <w:t>设备情况：700M电源1/2/3小区、4G电源1/2/3小区，共6个小区供电回路。</w:t>
      </w:r>
    </w:p>
    <w:p>
      <w:pPr>
        <w:jc w:val="center"/>
      </w:pPr>
      <w:r>
        <w:drawing>
          <wp:inline distT="0" distR="0" distB="0" distL="0">
            <wp:extent cx="5334000" cy="3302000"/>
            <wp:docPr id="3" name="Drawing 3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ff"/>
          <w:rFonts w:ascii="SimSun" w:hAnsi="SimSun" w:cs="SimSun" w:eastAsia="SimSun"/>
          <w:sz w:val="24"/>
        </w:rPr>
        <w:t>设备铭牌：华为AAU5639（2600A 64T64R），电源额定值-48V/39A。</w:t>
      </w:r>
    </w:p>
    <w:p>
      <w:pPr>
        <w:jc w:val="center"/>
      </w:pPr>
      <w:r>
        <w:drawing>
          <wp:inline distT="0" distR="0" distB="0" distL="0">
            <wp:extent cx="5334000" cy="3302000"/>
            <wp:docPr id="4" name="Drawing 4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R="0" distB="0" distL="0">
            <wp:extent cx="5334000" cy="3302000"/>
            <wp:docPr id="5" name="Drawing 5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ff"/>
          <w:rFonts w:ascii="SimSun" w:hAnsi="SimSun" w:cs="SimSun" w:eastAsia="SimSun"/>
          <w:sz w:val="24"/>
        </w:rPr>
        <w:t>本期额定标杆超标原因：本期实际用电量1367.4度，同比、环比均正常，仅额定功率标杆超标27.26%。按位置点信息主设备总额定功率2.549kW、空调总额定功率2.12kW测算，对应额定功率标杆应为（2.549+2.12）kW×24小时×31天≈3473.7度，实际用电量未超该测算值。经核实，本次超标系资管系统未及时更新，导致系统额定功率标杆1074.51度偏低，实际用电情况正常。</w:t>
      </w:r>
    </w:p>
    <w:p>
      <w:r>
        <w:rPr>
          <w:b w:val="on"/>
          <w:rFonts w:ascii="SimHei" w:hAnsi="SimHei" w:cs="SimHei" w:eastAsia="SimHei"/>
          <w:sz w:val="28"/>
        </w:rPr>
        <w:t>三、整改小结</w:t>
      </w:r>
    </w:p>
    <w:p>
      <w:r>
        <w:rPr>
          <w:rFonts w:ascii="SimSun" w:hAnsi="SimSun" w:cs="SimSun" w:eastAsia="SimSun"/>
          <w:sz w:val="24"/>
        </w:rPr>
        <w:t>综上分析，已完成核查，确认该站点不存在用电量跑冒滴漏现象，不存在偷搭电问题，实际用电情况正常；额定功率标杆超标系资管系统未及时更新所致，建议及时更新资管系统额定功率台账，使系统标杆与现场实际设备配置一致。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2026-08-21T04:41:44Z</dcterms:created>
  <dc:creator>Apache POI</dc:creator>
</cp:coreProperties>
</file>