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after="240"/>
        <w:jc w:val="center"/>
      </w:pPr>
      <w:r>
        <w:rPr>
          <w:b w:val="on"/>
          <w:rFonts w:ascii="SimHei" w:hAnsi="SimHei" w:cs="SimHei" w:eastAsia="SimHei"/>
          <w:sz w:val="36"/>
        </w:rPr>
        <w:t>泰州靖江振亚资源点电费稽核说明</w:t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一、情况说明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报账点编码为ZDBZD-JS-2018-1021731，账期2025-04，本期总用电量1519.15度，环比、额定功率标杆正常，仅同比超标16.09%。</w:t>
      </w:r>
    </w:p>
    <w:p>
      <w:pPr>
        <w:spacing w:before="40" w:after="80"/>
        <w:ind w:firstLine="480"/>
      </w:pPr>
      <w:r>
        <w:drawing>
          <wp:inline distT="0" distR="0" distB="0" distL="0">
            <wp:extent cx="5334000" cy="2725425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</w:p>
    <w:p>
      <w:pPr>
        <w:spacing w:before="40" w:after="80"/>
        <w:ind w:firstLine="480"/>
      </w:pPr>
      <w:r>
        <w:drawing>
          <wp:inline distT="0" distR="0" distB="0" distL="0">
            <wp:extent cx="5334000" cy="2748965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二、排查分析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设备机柜现场图：</w:t>
      </w:r>
    </w:p>
    <w:p>
      <w:pPr>
        <w:spacing w:before="40" w:after="80"/>
        <w:ind w:firstLine="480"/>
      </w:pPr>
      <w:r>
        <w:drawing>
          <wp:inline distT="0" distR="0" distB="0" distL="0">
            <wp:extent cx="2400300" cy="1800225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drawing>
          <wp:inline distT="0" distR="0" distB="0" distL="0">
            <wp:extent cx="4095750" cy="1800225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</w:p>
    <w:p>
      <w:pPr>
        <w:spacing w:before="40" w:after="80"/>
        <w:ind w:firstLine="480"/>
      </w:pPr>
      <w:r>
        <w:drawing>
          <wp:inline distT="0" distR="0" distB="0" distL="0">
            <wp:extent cx="3333750" cy="1085850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本期电量同比超标原因：</w:t>
      </w:r>
      <w:r>
        <w:rPr>
          <w:b w:val="off"/>
          <w:rFonts w:ascii="SimSun" w:hAnsi="SimSun" w:cs="SimSun" w:eastAsia="SimSun"/>
          <w:sz w:val="24"/>
        </w:rPr>
        <w:t>本期日均用电量50.64度，同比正常上限43.62度，超标16.09%。</w:t>
      </w:r>
      <w:r>
        <w:rPr>
          <w:b w:val="on"/>
          <w:rFonts w:ascii="SimHei" w:hAnsi="SimHei" w:cs="SimHei" w:eastAsia="SimHei"/>
          <w:sz w:val="24"/>
        </w:rPr>
        <w:t>该站点为矛盾站点，2022年8月起拉电停用，矛盾解决后于2024年恢复启用，业务量逐渐增长，去年同期电量基数偏低，导致本期同比超标，实际用电情况正常。</w:t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三、整改小结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综上分析，已完成核查，确认该站点</w:t>
      </w:r>
      <w:r>
        <w:rPr>
          <w:b w:val="on"/>
          <w:rFonts w:ascii="SimHei" w:hAnsi="SimHei" w:cs="SimHei" w:eastAsia="SimHei"/>
          <w:sz w:val="24"/>
        </w:rPr>
        <w:t>不存在用电量跑冒滴漏现象，不存在偷搭电问题</w:t>
      </w:r>
      <w:r>
        <w:rPr>
          <w:b w:val="off"/>
          <w:rFonts w:ascii="SimSun" w:hAnsi="SimSun" w:cs="SimSun" w:eastAsia="SimSun"/>
          <w:sz w:val="24"/>
        </w:rPr>
        <w:t>，同比超标是</w:t>
      </w:r>
      <w:r>
        <w:rPr>
          <w:b w:val="on"/>
          <w:rFonts w:ascii="SimHei" w:hAnsi="SimHei" w:cs="SimHei" w:eastAsia="SimHei"/>
          <w:sz w:val="24"/>
        </w:rPr>
        <w:t>矛盾站点拉电停用后恢复启用、同期基数偏低导致</w:t>
      </w:r>
      <w:r>
        <w:rPr>
          <w:b w:val="off"/>
          <w:rFonts w:ascii="SimSun" w:hAnsi="SimSun" w:cs="SimSun" w:eastAsia="SimSun"/>
          <w:sz w:val="24"/>
        </w:rPr>
        <w:t>，经测算分析判断</w:t>
      </w:r>
      <w:r>
        <w:rPr>
          <w:b w:val="on"/>
          <w:rFonts w:ascii="SimHei" w:hAnsi="SimHei" w:cs="SimHei" w:eastAsia="SimHei"/>
          <w:sz w:val="24"/>
        </w:rPr>
        <w:t>实际用电情况正常</w:t>
      </w:r>
      <w:r>
        <w:rPr>
          <w:b w:val="off"/>
          <w:rFonts w:ascii="SimSun" w:hAnsi="SimSun" w:cs="SimSun" w:eastAsia="SimSun"/>
          <w:sz w:val="24"/>
        </w:rPr>
        <w:t>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2026-08-24T08:37:46Z</dcterms:created>
  <dc:creator>Apache POI</dc:creator>
</cp:coreProperties>
</file>