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240"/>
        <w:jc w:val="center"/>
      </w:pPr>
      <w:r>
        <w:rPr>
          <w:b w:val="on"/>
          <w:rFonts w:ascii="SimHei" w:hAnsi="SimHei" w:cs="SimHei" w:eastAsia="SimHei"/>
          <w:sz w:val="36"/>
        </w:rPr>
        <w:t>江神化工铁塔资源点电费稽核说明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一、情况说明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报账点编码为ZDBZD-JS-2019-014558，账期为2025-02，本期总用电量4575.88度，环比、额定功率标杆正常，仅同比超标27.85%。</w:t>
      </w:r>
    </w:p>
    <w:p>
      <w:pPr>
        <w:spacing w:before="40" w:after="80"/>
        <w:ind w:firstLine="480"/>
      </w:pPr>
      <w:r>
        <w:drawing>
          <wp:inline distT="0" distR="0" distB="0" distL="0">
            <wp:extent cx="5334000" cy="2795841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5334000" cy="279753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二、排查分析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设备机柜现场图：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设备情况：现场配电开关箱及供电回路接线正常。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2400300" cy="1800225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设备情况：现场移动4G设备供电回路接线正常。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1352550" cy="1800225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机房全景图：</w:t>
      </w:r>
    </w:p>
    <w:p>
      <w:pPr>
        <w:spacing w:before="40" w:after="80"/>
        <w:ind w:firstLine="480"/>
      </w:pPr>
      <w:r>
        <w:drawing>
          <wp:inline distT="0" distR="0" distB="0" distL="0">
            <wp:extent cx="1352550" cy="1800225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设备情况：现场断路器组及供电回路接线正常。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1352550" cy="1800225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设备情况：现场4G设备供电回路接线正常。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1352550" cy="1800225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设备情况：现场设备供电端子接线正常。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2400300" cy="1800225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设备情况：现场机柜电源走线规范。</w:t>
      </w:r>
    </w:p>
    <w:p>
      <w:pPr>
        <w:spacing w:before="40" w:after="80"/>
        <w:ind w:firstLine="480"/>
      </w:pPr>
      <w:r>
        <w:drawing>
          <wp:inline distT="0" distR="0" distB="0" distL="0">
            <wp:extent cx="2400300" cy="1800225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设备情况：现场700M等小区供电回路接线正常。</w:t>
      </w:r>
    </w:p>
    <w:p>
      <w:pPr>
        <w:spacing w:before="40" w:after="80"/>
        <w:ind w:firstLine="480"/>
      </w:pPr>
      <w:r>
        <w:drawing>
          <wp:inline distT="0" distR="0" distB="0" distL="0">
            <wp:extent cx="1352550" cy="1800225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设备机柜现场图：</w:t>
      </w:r>
    </w:p>
    <w:p>
      <w:pPr>
        <w:spacing w:before="40" w:after="80"/>
        <w:ind w:firstLine="480"/>
      </w:pPr>
      <w:r>
        <w:drawing>
          <wp:inline distT="0" distR="0" distB="0" distL="0">
            <wp:extent cx="2400300" cy="1800225"/>
            <wp:docPr id="10" name="Drawing 1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drawing>
          <wp:inline distT="0" distR="0" distB="0" distL="0">
            <wp:extent cx="1352550" cy="1800225"/>
            <wp:docPr id="11" name="Drawing 1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本期电量同比超标原因：</w:t>
      </w:r>
      <w:r>
        <w:rPr>
          <w:b w:val="off"/>
          <w:rFonts w:ascii="SimSun" w:hAnsi="SimSun" w:cs="SimSun" w:eastAsia="SimSun"/>
          <w:sz w:val="24"/>
        </w:rPr>
        <w:t>本期日均用电量163.42度，同比正常上限127.82度，超标27.85%；</w:t>
      </w:r>
      <w:r>
        <w:rPr>
          <w:b w:val="off"/>
          <w:rFonts w:ascii="SimSun" w:hAnsi="SimSun" w:cs="SimSun" w:eastAsia="SimSun"/>
          <w:sz w:val="24"/>
        </w:rPr>
        <w:t>环比、额定功率标杆均正常，分摊比例59.66%环比无变化。</w:t>
      </w:r>
      <w:r>
        <w:rPr>
          <w:b w:val="on"/>
          <w:rFonts w:ascii="SimHei" w:hAnsi="SimHei" w:cs="SimHei" w:eastAsia="SimHei"/>
          <w:sz w:val="24"/>
        </w:rPr>
        <w:t>华东油脂搬迁站点2024年11月1日由转供电改为直供电，与江神化工站点合并使用一个电表，设备合并后总电量上升，去年同期（2024-02）电量基数偏低，导致本期电量同比超标，实际用电情况正常。</w:t>
      </w:r>
    </w:p>
    <w:p>
      <w:pPr>
        <w:spacing w:before="140" w:after="120"/>
      </w:pPr>
      <w:r>
        <w:rPr>
          <w:b w:val="on"/>
          <w:rFonts w:ascii="SimHei" w:hAnsi="SimHei" w:cs="SimHei" w:eastAsia="SimHei"/>
          <w:sz w:val="28"/>
        </w:rPr>
        <w:t>三、整改小结</w:t>
      </w:r>
    </w:p>
    <w:p>
      <w:pPr>
        <w:spacing w:before="40" w:after="80"/>
        <w:ind w:firstLine="480"/>
      </w:pPr>
      <w:r>
        <w:rPr>
          <w:b w:val="off"/>
          <w:rFonts w:ascii="SimSun" w:hAnsi="SimSun" w:cs="SimSun" w:eastAsia="SimSun"/>
          <w:sz w:val="24"/>
        </w:rPr>
        <w:t>综上分析，已完成核查，确认该站点</w:t>
      </w:r>
      <w:r>
        <w:rPr>
          <w:b w:val="on"/>
          <w:rFonts w:ascii="SimHei" w:hAnsi="SimHei" w:cs="SimHei" w:eastAsia="SimHei"/>
          <w:sz w:val="24"/>
        </w:rPr>
        <w:t>不存在用电量跑冒滴漏现象，不存在偷搭电问题</w:t>
      </w:r>
      <w:r>
        <w:rPr>
          <w:b w:val="off"/>
          <w:rFonts w:ascii="SimSun" w:hAnsi="SimSun" w:cs="SimSun" w:eastAsia="SimSun"/>
          <w:sz w:val="24"/>
        </w:rPr>
        <w:t>，同比超标是</w:t>
      </w:r>
      <w:r>
        <w:rPr>
          <w:b w:val="on"/>
          <w:rFonts w:ascii="SimHei" w:hAnsi="SimHei" w:cs="SimHei" w:eastAsia="SimHei"/>
          <w:sz w:val="24"/>
        </w:rPr>
        <w:t>华东油脂搬迁站点转改直与江神化工合并使用一个电表、同期基数偏低导致</w:t>
      </w:r>
      <w:r>
        <w:rPr>
          <w:b w:val="off"/>
          <w:rFonts w:ascii="SimSun" w:hAnsi="SimSun" w:cs="SimSun" w:eastAsia="SimSun"/>
          <w:sz w:val="24"/>
        </w:rPr>
        <w:t>，经测算分析判断</w:t>
      </w:r>
      <w:r>
        <w:rPr>
          <w:b w:val="on"/>
          <w:rFonts w:ascii="SimHei" w:hAnsi="SimHei" w:cs="SimHei" w:eastAsia="SimHei"/>
          <w:sz w:val="24"/>
        </w:rPr>
        <w:t>实际用电情况正常</w:t>
      </w:r>
      <w:r>
        <w:rPr>
          <w:b w:val="off"/>
          <w:rFonts w:ascii="SimSun" w:hAnsi="SimSun" w:cs="SimSun" w:eastAsia="SimSun"/>
          <w:sz w:val="24"/>
        </w:rPr>
        <w:t>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2026-08-25T04:25:14Z</dcterms:created>
  <dc:creator>Apache POI</dc:creator>
</cp:coreProperties>
</file>