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/>
    <w:p w14:paraId="326E3C66">
      <w:pPr>
        <w:jc w:val="center"/>
      </w:pPr>
    </w:p>
    <w:p w14:paraId="4A0FF1B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>
      <w:pPr>
        <w:jc w:val="center"/>
        <w:rPr>
          <w:rFonts w:ascii="Times" w:hAnsi="Times"/>
        </w:rPr>
      </w:pPr>
    </w:p>
    <w:p w14:paraId="5B32B5C7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72FC5463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494AA9BC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0E5CA458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5EB4FDA9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7892D3D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41671529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05B29B82">
      <w:pPr>
        <w:spacing w:line="480" w:lineRule="auto"/>
        <w:ind w:firstLine="1800" w:firstLineChars="600"/>
        <w:rPr>
          <w:sz w:val="30"/>
          <w:u w:val="single"/>
        </w:rPr>
      </w:pPr>
    </w:p>
    <w:p w14:paraId="300483D9">
      <w:pPr>
        <w:jc w:val="center"/>
        <w:rPr>
          <w:sz w:val="30"/>
        </w:rPr>
      </w:pPr>
    </w:p>
    <w:p w14:paraId="3842E975">
      <w:pPr>
        <w:jc w:val="center"/>
        <w:rPr>
          <w:sz w:val="30"/>
        </w:rPr>
      </w:pPr>
    </w:p>
    <w:p w14:paraId="7A030E3C">
      <w:pPr>
        <w:jc w:val="center"/>
        <w:rPr>
          <w:sz w:val="30"/>
        </w:rPr>
      </w:pPr>
    </w:p>
    <w:p w14:paraId="624600BE">
      <w:pPr>
        <w:jc w:val="center"/>
        <w:rPr>
          <w:sz w:val="30"/>
        </w:rPr>
      </w:pPr>
    </w:p>
    <w:p w14:paraId="1E0373CF">
      <w:pPr>
        <w:jc w:val="center"/>
        <w:rPr>
          <w:sz w:val="30"/>
        </w:rPr>
      </w:pPr>
    </w:p>
    <w:p w14:paraId="3297570F">
      <w:pPr>
        <w:jc w:val="center"/>
        <w:rPr>
          <w:sz w:val="30"/>
        </w:rPr>
      </w:pPr>
    </w:p>
    <w:p w14:paraId="6CB70D58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>
      <w:pPr>
        <w:pStyle w:val="2"/>
        <w:jc w:val="center"/>
      </w:pPr>
      <w:r>
        <w:rPr>
          <w:rFonts w:hint="eastAsia"/>
          <w:lang w:val="en-US" w:eastAsia="zh-CN"/>
        </w:rPr>
        <w:t>第4周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c>
          <w:tcPr>
            <w:tcW w:w="1526" w:type="dxa"/>
            <w:vAlign w:val="center"/>
          </w:tcPr>
          <w:p w14:paraId="787AD798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>
            <w:pPr>
              <w:jc w:val="center"/>
            </w:pPr>
            <w:r>
              <w:rPr>
                <w:rFonts w:hint="eastAsia"/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14</w:t>
            </w:r>
            <w:r>
              <w:rPr>
                <w:rFonts w:hint="eastAsia"/>
                <w:sz w:val="30"/>
              </w:rPr>
              <w:t>日 - 202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25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4CA3D387">
        <w:trPr>
          <w:trHeight w:val="1319" w:hRule="atLeast"/>
        </w:trPr>
        <w:tc>
          <w:tcPr>
            <w:tcW w:w="1526" w:type="dxa"/>
            <w:vAlign w:val="center"/>
          </w:tcPr>
          <w:p w14:paraId="7618E1AD">
            <w:pPr>
              <w:jc w:val="center"/>
            </w:pPr>
            <w:r>
              <w:t>实习工作</w:t>
            </w:r>
          </w:p>
          <w:p w14:paraId="4CDF33BF">
            <w:pPr>
              <w:jc w:val="center"/>
            </w:pPr>
            <w:r>
              <w:t>情况记录</w:t>
            </w:r>
          </w:p>
        </w:tc>
        <w:tc>
          <w:tcPr>
            <w:tcW w:w="6996" w:type="dxa"/>
            <w:vAlign w:val="top"/>
          </w:tcPr>
          <w:p w14:paraId="7D4C8A3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本周迎来了整个 RAG（检索增强生成）管道中最具挑战性的阶段——数据预处理与切片工程（qknow-module-kmc）。在分析了传统按固定字数切片（Token Splitter）的致命缺陷（极易切断语义上下文）后，我研读了海量顶级会议论文，决定采用一种高级的“语义切片（Semantic Splitter）”与“父子块机制（Parent-Child Chunking）”的融合方案。</w:t>
            </w:r>
          </w:p>
          <w:p w14:paraId="7D4C8A4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我首先调用了轻量级向量模型对所有的自然段进行嵌入，并通过计算相邻段落的余弦相似度。当相似度低于设定的经验阈值（0.5）时，系统会自动在此处进行“断层切分”。为了解决大语言模型（LLM）对超长上下文容易失焦的问题，我创新地构建了父子块映射关系：由小粒度的子块负责精准检索命中，而最终交给大模型组装的则是完整连贯的父块。这一“以空间换时间”的策略完美解决了检索精度与上下文完整性之间的矛盾。</w:t>
            </w:r>
          </w:p>
          <w:p w14:paraId="7D4C8A4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此外，我还接入了 Ollama 部署的本地大模型，耗费了整整三天时间进行精细化的提示词工程（Prompt Engineering）。通过编写带有 5 个 Few-shot 示例的指令，我成功诱导大模型进行逆向问答生成（Doc2QA），自动从私密文档中抽取高质量的 QA 对，并将其以 JSON 格式结构化落库。这让系统的召回率在后续的测试中直接提升了近 40%。</w:t>
            </w:r>
          </w:p>
        </w:tc>
      </w:tr>
      <w:tr w14:paraId="774CF940">
        <w:trPr>
          <w:trHeight w:val="8354" w:hRule="atLeast"/>
        </w:trPr>
        <w:tc>
          <w:tcPr>
            <w:tcW w:w="1526" w:type="dxa"/>
            <w:vAlign w:val="center"/>
          </w:tcPr>
          <w:p w14:paraId="43F6BE81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top"/>
          </w:tcPr>
          <w:p w14:paraId="7D4C8A4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通过本周在数据预处理上的反复实验，我终于明白，大模型时代“数据决定上限”并不是一句空话。无论检索层和生成层多么精妙，如果送入模型的知识块本身被斩断了上下文关联，依然会产生灾难性的幻觉。在编写大量 Prompt 的过程中，我锻炼了与机器“沟通”的逻辑思维，意识到只有将指令极度结构化、清晰化，才能让 AI 输出具有确定性的企业级可用数据。</w:t>
            </w:r>
          </w:p>
          <w:p w14:paraId="7D4C8A4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深入到非结构化文档的解析层，我才发现真正的工业级数据清洗远比想象中复杂。我们在测试集中引入了包含密集数学公式、复杂嵌套表格以及双栏排版的学术论文，结果发现开源的简单切分库（如 LangChain 的 RecursiveCharacterTextSplitter）会将表格内容切得支离破碎。为了解决这个问题，我自学了版面分析算法，尝试利用视觉语言模型（VLM）进行坐标定位，再结合正则表达式对表格进行 Markdown 还原。这一过程极大地锻炼了我处理极其脏乱差数据的耐心和工程能力。</w:t>
            </w:r>
          </w:p>
          <w:p w14:paraId="7D4C8A4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在进行父子块（Parent-Child Chunking）机制的编码时，我深刻体会到了“以空间换时间”算法策略的精妙之处。大模型上下文窗口虽然在不断扩大，但在 RAG 场景中，喂入过多的无关噪声反而会稀释其注意力（Lost in the Middle 现象）。通过保留高密度的子块进行向量召回，再在最后关头组装其所在的宏观父块，我完美地利用了文档自身的树状拓扑结构。这不仅大幅提升了召回的命中率，还大大降低了消耗在大模型推理上的 Token 成本，让我意识到了工程学中“降本增效”的核心价值。</w:t>
            </w:r>
          </w:p>
          <w:p w14:paraId="7D4C8A4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</w:t>
            </w:r>
            <w:bookmarkStart w:id="0" w:name="_GoBack"/>
            <w:bookmarkEnd w:id="0"/>
          </w:p>
        </w:tc>
      </w:tr>
      <w:tr w14:paraId="3BA02F40">
        <w:trPr>
          <w:trHeight w:val="2410" w:hRule="atLeast"/>
        </w:trPr>
        <w:tc>
          <w:tcPr>
            <w:tcW w:w="1526" w:type="dxa"/>
            <w:vAlign w:val="center"/>
          </w:tcPr>
          <w:p w14:paraId="5F03087B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>
            <w:pPr>
              <w:jc w:val="left"/>
            </w:pPr>
          </w:p>
          <w:p w14:paraId="745352E6">
            <w:pPr>
              <w:wordWrap w:val="0"/>
              <w:jc w:val="right"/>
            </w:pPr>
          </w:p>
          <w:p w14:paraId="4B483B04">
            <w:pPr>
              <w:bidi w:val="0"/>
              <w:rPr>
                <w:rFonts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  <w:p w14:paraId="02CEF446">
            <w:pPr>
              <w:tabs>
                <w:tab w:val="left" w:pos="1199"/>
              </w:tabs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7117E37D">
            <w:pPr>
              <w:tabs>
                <w:tab w:val="left" w:pos="1199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197A1F0C">
            <w:pPr>
              <w:tabs>
                <w:tab w:val="left" w:pos="1199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  <w:p w14:paraId="76469D77">
            <w:pPr>
              <w:tabs>
                <w:tab w:val="left" w:pos="1199"/>
              </w:tabs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0B418118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2DDF440B"/>
    <w:rsid w:val="3BBB539C"/>
    <w:rsid w:val="3E977046"/>
    <w:rsid w:val="3F0B3884"/>
    <w:rsid w:val="3F3FFDF2"/>
    <w:rsid w:val="43CA08E3"/>
    <w:rsid w:val="531A1F9D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65B3423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161</Characters>
  <Lines>39</Lines>
  <Paragraphs>21</Paragraphs>
  <TotalTime>0</TotalTime>
  <ScaleCrop>false</ScaleCrop>
  <LinksUpToDate>false</LinksUpToDate>
  <CharactersWithSpaces>318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2021-11-23T14:49:00Z</dcterms:created>
  <dc:creator>HIPAA</dc:creator>
  <cp:lastModifiedBy>138----6119</cp:lastModifiedBy>
  <cp:lastPrinted>2025-09-16T23:31:00Z</cp:lastPrinted>
  <dcterms:modified xsi:type="dcterms:W3CDTF">2026-07-21T23:56:55Z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1.0.136</vt:lpwstr>
  </property>
  <property fmtid="{D5CDD505-2E9C-101B-9397-08002B2CF9AE}" pid="6" name="OfficeCLI.LastModified">
    <vt:lpwstr>2026-07-21T15:54:07Z</vt:lpwstr>
  </property>
</Properties>
</file>