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648"/>
      </w:tblGrid>
      <w:tr>
        <w:tc>
          <w:tcPr>
            <w:tcW w:type="dxa" w:w="9648"/>
            <w:shd w:val="clear" w:color="auto" w:fill="F4E6C3"/>
          </w:tcPr>
          <w:p>
            <w:pPr>
              <w:jc w:val="left"/>
            </w:pPr>
            <w:r/>
            <w:r>
              <w:rPr>
                <w:rFonts w:ascii="Calibri" w:hAnsi="Calibri" w:eastAsia="Calibri"/>
                <w:b w:val="0"/>
                <w:i/>
                <w:color w:val="5C4A1F"/>
                <w:sz w:val="18"/>
              </w:rPr>
              <w:t>FICTIONAL DOCUMENT — FOR SOFTWARE TESTING ONLY. All patient details, drug names, doses, and clinical content in this document are entirely fictional. Nothing in this document represents real medical guidance and it must not be used for any clinical purpose.</w:t>
            </w:r>
          </w:p>
        </w:tc>
      </w:tr>
    </w:tbl>
    <w:p/>
    <w:p>
      <w:pPr>
        <w:spacing w:after="0" w:before="0"/>
        <w:jc w:val="center"/>
      </w:pPr>
      <w:r>
        <w:rPr>
          <w:rFonts w:ascii="Calibri" w:hAnsi="Calibri" w:eastAsia="Calibri"/>
          <w:b/>
          <w:i w:val="0"/>
          <w:color w:val="1F4E79"/>
          <w:sz w:val="36"/>
        </w:rPr>
        <w:t>NORTHHAVEN COMMUNITY HOSPITAL</w:t>
      </w:r>
    </w:p>
    <w:p>
      <w:pPr>
        <w:spacing w:after="0" w:before="0"/>
        <w:jc w:val="center"/>
      </w:pPr>
      <w:r>
        <w:rPr>
          <w:rFonts w:ascii="Calibri" w:hAnsi="Calibri" w:eastAsia="Calibri"/>
          <w:b w:val="0"/>
          <w:i w:val="0"/>
          <w:sz w:val="24"/>
        </w:rPr>
        <w:t>Internal Medicine — Inpatient Service</w:t>
      </w:r>
    </w:p>
    <w:p>
      <w:pPr>
        <w:spacing w:after="200" w:before="0"/>
        <w:jc w:val="center"/>
      </w:pPr>
      <w:r>
        <w:rPr>
          <w:rFonts w:ascii="Calibri" w:hAnsi="Calibri" w:eastAsia="Calibri"/>
          <w:b/>
          <w:i w:val="0"/>
          <w:color w:val="1F4E79"/>
          <w:sz w:val="32"/>
        </w:rPr>
        <w:t>DISCHARGE SUMMARY</w:t>
      </w:r>
    </w:p>
    <w:p>
      <w:pPr>
        <w:spacing w:after="0"/>
      </w:pPr>
      <w:r>
        <w:rPr>
          <w:rFonts w:ascii="Calibri" w:hAnsi="Calibri" w:eastAsia="Calibri"/>
          <w:b w:val="0"/>
          <w:i w:val="0"/>
          <w:sz w:val="22"/>
        </w:rPr>
        <w:t>Patient:        Elena Vasquez, 67-year-old female</w:t>
      </w:r>
    </w:p>
    <w:p>
      <w:pPr>
        <w:spacing w:after="0"/>
      </w:pPr>
      <w:r>
        <w:rPr>
          <w:rFonts w:ascii="Calibri" w:hAnsi="Calibri" w:eastAsia="Calibri"/>
          <w:b w:val="0"/>
          <w:i w:val="0"/>
          <w:sz w:val="22"/>
        </w:rPr>
        <w:t>MRN:            NCH-4482196</w:t>
      </w:r>
    </w:p>
    <w:p>
      <w:pPr>
        <w:spacing w:after="0"/>
      </w:pPr>
      <w:r>
        <w:rPr>
          <w:rFonts w:ascii="Calibri" w:hAnsi="Calibri" w:eastAsia="Calibri"/>
          <w:b w:val="0"/>
          <w:i w:val="0"/>
          <w:sz w:val="22"/>
        </w:rPr>
        <w:t>Admission date: April 2, 2026</w:t>
      </w:r>
    </w:p>
    <w:p>
      <w:pPr>
        <w:spacing w:after="0"/>
      </w:pPr>
      <w:r>
        <w:rPr>
          <w:rFonts w:ascii="Calibri" w:hAnsi="Calibri" w:eastAsia="Calibri"/>
          <w:b w:val="0"/>
          <w:i w:val="0"/>
          <w:sz w:val="22"/>
        </w:rPr>
        <w:t>Discharge date: April 9, 2026</w:t>
      </w:r>
    </w:p>
    <w:p>
      <w:pPr>
        <w:spacing w:after="0"/>
      </w:pPr>
      <w:r>
        <w:rPr>
          <w:rFonts w:ascii="Calibri" w:hAnsi="Calibri" w:eastAsia="Calibri"/>
          <w:b w:val="0"/>
          <w:i w:val="0"/>
          <w:sz w:val="22"/>
        </w:rPr>
        <w:t>Attending:      Dr. S. Okoye, MD</w:t>
      </w:r>
    </w:p>
    <w:p>
      <w:pPr>
        <w:spacing w:after="0"/>
      </w:pPr>
      <w:r>
        <w:rPr>
          <w:rFonts w:ascii="Calibri" w:hAnsi="Calibri" w:eastAsia="Calibri"/>
          <w:b w:val="0"/>
          <w:i w:val="0"/>
          <w:sz w:val="22"/>
        </w:rPr>
        <w:t>Service:        Internal Medicine</w:t>
      </w:r>
    </w:p>
    <w:p>
      <w:pPr>
        <w:pStyle w:val="Heading1"/>
      </w:pPr>
      <w:r>
        <w:t>1. Reason for Admission</w:t>
      </w:r>
    </w:p>
    <w:p>
      <w:pPr>
        <w:spacing w:after="160"/>
      </w:pPr>
      <w:r>
        <w:rPr>
          <w:rFonts w:ascii="Calibri" w:hAnsi="Calibri" w:eastAsia="Calibri"/>
          <w:b w:val="0"/>
          <w:i w:val="0"/>
          <w:sz w:val="22"/>
        </w:rPr>
        <w:t>Ms. Vasquez, a 67-year-old woman with heart failure with reduced ejection fraction, type 2 diabetes mellitus, and longstanding hypothyroidism, presented to the emergency department on April 2 with four days of worsening dyspnea, orthopnea, a productive cough, and fever. Her weight was 4.2 kg above her documented dry weight. Initial blood pressure was 162/94 mmHg, heart rate was 98 beats per minute, temperature was 38.4°C, and oxygen saturation was 91% on room air. Chest radiography showed a right lower-lobe infiltrate. B-type natriuretic peptide was elevated. Serum creatinine was 1.1 mg/dL, unchanged from baseline. Hemoglobin A1c from the prior month was 8.9%. Thyroid-stimulating hormone was 6.8 mIU/L; her usual thyroid replacement had been held for two days because of poor oral intake. She was admitted for acute decompensated heart failure and community-acquired pneumonia.</w:t>
      </w:r>
    </w:p>
    <w:p>
      <w:pPr>
        <w:pStyle w:val="Heading1"/>
      </w:pPr>
      <w:r>
        <w:t>2. Hospital Course</w:t>
      </w:r>
    </w:p>
    <w:p>
      <w:pPr>
        <w:spacing w:after="160"/>
      </w:pPr>
      <w:r>
        <w:rPr>
          <w:rFonts w:ascii="Calibri" w:hAnsi="Calibri" w:eastAsia="Calibri"/>
          <w:b w:val="0"/>
          <w:i w:val="0"/>
          <w:sz w:val="22"/>
        </w:rPr>
        <w:t>Intravenous diuresis was begun on arrival and transitioned to oral therapy on hospital day three after a net negative fluid balance of 3.1 kg. Renovast was started for guideline-directed treatment of heart failure with reduced ejection fraction in a patient who also has type 2 diabetes. Her home diabetes regimen was revised, and Glyvanta was written at an increased dose. Thyrelin was resumed once she was eating reliably. Pulmavir was selected for community-acquired pneumonia after review of local susceptibility patterns. She reported poor sleep throughout the admission, and a hypnotic was added after non-drug measures were insufficient. Cardiology recommended Brantixol for adjunctive cardiovascular protection.</w:t>
      </w:r>
    </w:p>
    <w:p>
      <w:pPr>
        <w:spacing w:after="160"/>
      </w:pPr>
      <w:r>
        <w:rPr>
          <w:rFonts w:ascii="Calibri" w:hAnsi="Calibri" w:eastAsia="Calibri"/>
          <w:b w:val="0"/>
          <w:i w:val="0"/>
          <w:sz w:val="22"/>
        </w:rPr>
        <w:t>By day seven she was afebrile, breathing room air with an oxygen saturation of 96%, and walking on the ward without dyspnea at rest. Weight was within 1 kg of her dry weight. Outpatient follow-up was arranged with primary care and cardiology. Discharge counseling covered each medication, daily weights, and the symptoms that should prompt a call to the clinic.</w:t>
      </w:r>
    </w:p>
    <w:p>
      <w:r>
        <w:br w:type="page"/>
      </w:r>
    </w:p>
    <w:p>
      <w:pPr>
        <w:pStyle w:val="Heading1"/>
      </w:pPr>
      <w:r>
        <w:t>3. Discharge Diagnoses</w:t>
      </w:r>
    </w:p>
    <w:p>
      <w:pPr>
        <w:spacing w:after="40"/>
      </w:pPr>
      <w:r>
        <w:rPr>
          <w:rFonts w:ascii="Calibri" w:hAnsi="Calibri" w:eastAsia="Calibri"/>
          <w:b w:val="0"/>
          <w:i w:val="0"/>
          <w:sz w:val="22"/>
        </w:rPr>
        <w:t>1. Acute decompensated heart failure with reduced ejection fraction, improved.</w:t>
      </w:r>
    </w:p>
    <w:p>
      <w:pPr>
        <w:spacing w:after="40"/>
      </w:pPr>
      <w:r>
        <w:rPr>
          <w:rFonts w:ascii="Calibri" w:hAnsi="Calibri" w:eastAsia="Calibri"/>
          <w:b w:val="0"/>
          <w:i w:val="0"/>
          <w:sz w:val="22"/>
        </w:rPr>
        <w:t>2. Community-acquired pneumonia, clinically resolving.</w:t>
      </w:r>
    </w:p>
    <w:p>
      <w:pPr>
        <w:spacing w:after="40"/>
      </w:pPr>
      <w:r>
        <w:rPr>
          <w:rFonts w:ascii="Calibri" w:hAnsi="Calibri" w:eastAsia="Calibri"/>
          <w:b w:val="0"/>
          <w:i w:val="0"/>
          <w:sz w:val="22"/>
        </w:rPr>
        <w:t>3. Type 2 diabetes mellitus, suboptimal control.</w:t>
      </w:r>
    </w:p>
    <w:p>
      <w:pPr>
        <w:spacing w:after="40"/>
      </w:pPr>
      <w:r>
        <w:rPr>
          <w:rFonts w:ascii="Calibri" w:hAnsi="Calibri" w:eastAsia="Calibri"/>
          <w:b w:val="0"/>
          <w:i w:val="0"/>
          <w:sz w:val="22"/>
        </w:rPr>
        <w:t>4. Hypothyroidism, on replacement therapy.</w:t>
      </w:r>
    </w:p>
    <w:p>
      <w:pPr>
        <w:spacing w:after="40"/>
      </w:pPr>
      <w:r>
        <w:rPr>
          <w:rFonts w:ascii="Calibri" w:hAnsi="Calibri" w:eastAsia="Calibri"/>
          <w:b w:val="0"/>
          <w:i w:val="0"/>
          <w:sz w:val="22"/>
        </w:rPr>
        <w:t>5. Insomnia related to hospitalization.</w:t>
      </w:r>
    </w:p>
    <w:p>
      <w:pPr>
        <w:pStyle w:val="Heading1"/>
      </w:pPr>
      <w:r>
        <w:t>4. Discharge Medications</w:t>
      </w:r>
    </w:p>
    <w:p>
      <w:pPr>
        <w:spacing w:after="160"/>
      </w:pPr>
      <w:r>
        <w:rPr>
          <w:rFonts w:ascii="Calibri" w:hAnsi="Calibri" w:eastAsia="Calibri"/>
          <w:b w:val="0"/>
          <w:i w:val="0"/>
          <w:sz w:val="22"/>
        </w:rPr>
        <w:t>The following regimen was prescribed at discharge. The patient was counseled on each medication, its purpose, and key warnings. A printed medication list was reviewed with the patient and her daughter at the bedside before discharge.</w:t>
      </w:r>
    </w:p>
    <w:tbl>
      <w:tblPr>
        <w:tblStyle w:val="TableGrid"/>
        <w:tblW w:type="auto" w:w="0"/>
        <w:tblLayout w:type="autofit"/>
        <w:tblLook w:firstColumn="1" w:firstRow="1" w:lastColumn="0" w:lastRow="0" w:noHBand="0" w:noVBand="1" w:val="04A0"/>
      </w:tblPr>
      <w:tblGrid>
        <w:gridCol w:w="1930"/>
        <w:gridCol w:w="1930"/>
        <w:gridCol w:w="1930"/>
        <w:gridCol w:w="1930"/>
        <w:gridCol w:w="1930"/>
      </w:tblGrid>
      <w:tr>
        <w:tc>
          <w:tcPr>
            <w:tcW w:type="dxa" w:w="1930"/>
            <w:shd w:val="clear" w:color="auto" w:fill="1F4E79"/>
          </w:tcPr>
          <w:p>
            <w:r/>
            <w:r>
              <w:rPr>
                <w:rFonts w:ascii="Calibri" w:hAnsi="Calibri" w:eastAsia="Calibri"/>
                <w:b/>
                <w:i w:val="0"/>
                <w:color w:val="FFFFFF"/>
                <w:sz w:val="20"/>
              </w:rPr>
              <w:t>Medication</w:t>
            </w:r>
          </w:p>
        </w:tc>
        <w:tc>
          <w:tcPr>
            <w:tcW w:type="dxa" w:w="1930"/>
            <w:shd w:val="clear" w:color="auto" w:fill="1F4E79"/>
          </w:tcPr>
          <w:p>
            <w:r/>
            <w:r>
              <w:rPr>
                <w:rFonts w:ascii="Calibri" w:hAnsi="Calibri" w:eastAsia="Calibri"/>
                <w:b/>
                <w:i w:val="0"/>
                <w:color w:val="FFFFFF"/>
                <w:sz w:val="20"/>
              </w:rPr>
              <w:t>Dose</w:t>
            </w:r>
          </w:p>
        </w:tc>
        <w:tc>
          <w:tcPr>
            <w:tcW w:type="dxa" w:w="1930"/>
            <w:shd w:val="clear" w:color="auto" w:fill="1F4E79"/>
          </w:tcPr>
          <w:p>
            <w:r/>
            <w:r>
              <w:rPr>
                <w:rFonts w:ascii="Calibri" w:hAnsi="Calibri" w:eastAsia="Calibri"/>
                <w:b/>
                <w:i w:val="0"/>
                <w:color w:val="FFFFFF"/>
                <w:sz w:val="20"/>
              </w:rPr>
              <w:t>Route / Frequency</w:t>
            </w:r>
          </w:p>
        </w:tc>
        <w:tc>
          <w:tcPr>
            <w:tcW w:type="dxa" w:w="1930"/>
            <w:shd w:val="clear" w:color="auto" w:fill="1F4E79"/>
          </w:tcPr>
          <w:p>
            <w:r/>
            <w:r>
              <w:rPr>
                <w:rFonts w:ascii="Calibri" w:hAnsi="Calibri" w:eastAsia="Calibri"/>
                <w:b/>
                <w:i w:val="0"/>
                <w:color w:val="FFFFFF"/>
                <w:sz w:val="20"/>
              </w:rPr>
              <w:t>Duration</w:t>
            </w:r>
          </w:p>
        </w:tc>
        <w:tc>
          <w:tcPr>
            <w:tcW w:type="dxa" w:w="1930"/>
            <w:shd w:val="clear" w:color="auto" w:fill="1F4E79"/>
          </w:tcPr>
          <w:p>
            <w:r/>
            <w:r>
              <w:rPr>
                <w:rFonts w:ascii="Calibri" w:hAnsi="Calibri" w:eastAsia="Calibri"/>
                <w:b/>
                <w:i w:val="0"/>
                <w:color w:val="FFFFFF"/>
                <w:sz w:val="20"/>
              </w:rPr>
              <w:t>Indication</w:t>
            </w:r>
          </w:p>
        </w:tc>
      </w:tr>
      <w:tr>
        <w:tc>
          <w:tcPr>
            <w:tcW w:type="dxa" w:w="1930"/>
          </w:tcPr>
          <w:p>
            <w:r/>
            <w:r>
              <w:rPr>
                <w:rFonts w:ascii="Calibri" w:hAnsi="Calibri" w:eastAsia="Calibri"/>
                <w:b/>
                <w:i w:val="0"/>
                <w:sz w:val="20"/>
              </w:rPr>
              <w:t>Renovast</w:t>
            </w:r>
          </w:p>
        </w:tc>
        <w:tc>
          <w:tcPr>
            <w:tcW w:type="dxa" w:w="1930"/>
          </w:tcPr>
          <w:p>
            <w:r/>
            <w:r>
              <w:rPr>
                <w:rFonts w:ascii="Calibri" w:hAnsi="Calibri" w:eastAsia="Calibri"/>
                <w:b w:val="0"/>
                <w:i w:val="0"/>
                <w:sz w:val="20"/>
              </w:rPr>
              <w:t>10 mg</w:t>
            </w:r>
          </w:p>
        </w:tc>
        <w:tc>
          <w:tcPr>
            <w:tcW w:type="dxa" w:w="1930"/>
          </w:tcPr>
          <w:p>
            <w:r/>
            <w:r>
              <w:rPr>
                <w:rFonts w:ascii="Calibri" w:hAnsi="Calibri" w:eastAsia="Calibri"/>
                <w:b w:val="0"/>
                <w:i w:val="0"/>
                <w:sz w:val="20"/>
              </w:rPr>
              <w:t>PO once daily, in the morning</w:t>
            </w:r>
          </w:p>
        </w:tc>
        <w:tc>
          <w:tcPr>
            <w:tcW w:type="dxa" w:w="1930"/>
          </w:tcPr>
          <w:p>
            <w:r/>
            <w:r>
              <w:rPr>
                <w:rFonts w:ascii="Calibri" w:hAnsi="Calibri" w:eastAsia="Calibri"/>
                <w:b w:val="0"/>
                <w:i w:val="0"/>
                <w:sz w:val="20"/>
              </w:rPr>
              <w:t>Continue indefinitely</w:t>
            </w:r>
          </w:p>
        </w:tc>
        <w:tc>
          <w:tcPr>
            <w:tcW w:type="dxa" w:w="1930"/>
          </w:tcPr>
          <w:p>
            <w:r/>
            <w:r>
              <w:rPr>
                <w:rFonts w:ascii="Calibri" w:hAnsi="Calibri" w:eastAsia="Calibri"/>
                <w:b w:val="0"/>
                <w:i w:val="0"/>
                <w:sz w:val="20"/>
              </w:rPr>
              <w:t>Heart failure with reduced ejection fraction</w:t>
            </w:r>
          </w:p>
        </w:tc>
      </w:tr>
      <w:tr>
        <w:tc>
          <w:tcPr>
            <w:tcW w:type="dxa" w:w="1930"/>
            <w:shd w:val="clear" w:color="auto" w:fill="F7F9FB"/>
          </w:tcPr>
          <w:p>
            <w:r/>
            <w:r>
              <w:rPr>
                <w:rFonts w:ascii="Calibri" w:hAnsi="Calibri" w:eastAsia="Calibri"/>
                <w:b/>
                <w:i w:val="0"/>
                <w:sz w:val="20"/>
              </w:rPr>
              <w:t>Nexoride</w:t>
            </w:r>
          </w:p>
        </w:tc>
        <w:tc>
          <w:tcPr>
            <w:tcW w:type="dxa" w:w="1930"/>
            <w:shd w:val="clear" w:color="auto" w:fill="F7F9FB"/>
          </w:tcPr>
          <w:p>
            <w:r/>
            <w:r>
              <w:rPr>
                <w:rFonts w:ascii="Calibri" w:hAnsi="Calibri" w:eastAsia="Calibri"/>
                <w:b w:val="0"/>
                <w:i w:val="0"/>
                <w:sz w:val="20"/>
              </w:rPr>
              <w:t>20 mg</w:t>
            </w:r>
          </w:p>
        </w:tc>
        <w:tc>
          <w:tcPr>
            <w:tcW w:type="dxa" w:w="1930"/>
            <w:shd w:val="clear" w:color="auto" w:fill="F7F9FB"/>
          </w:tcPr>
          <w:p>
            <w:r/>
            <w:r>
              <w:rPr>
                <w:rFonts w:ascii="Calibri" w:hAnsi="Calibri" w:eastAsia="Calibri"/>
                <w:b w:val="0"/>
                <w:i w:val="0"/>
                <w:sz w:val="20"/>
              </w:rPr>
              <w:t>PO once daily at bedtime</w:t>
            </w:r>
          </w:p>
        </w:tc>
        <w:tc>
          <w:tcPr>
            <w:tcW w:type="dxa" w:w="1930"/>
            <w:shd w:val="clear" w:color="auto" w:fill="F7F9FB"/>
          </w:tcPr>
          <w:p>
            <w:r/>
            <w:r>
              <w:rPr>
                <w:rFonts w:ascii="Calibri" w:hAnsi="Calibri" w:eastAsia="Calibri"/>
                <w:b w:val="0"/>
                <w:i w:val="0"/>
                <w:sz w:val="20"/>
              </w:rPr>
              <w:t>Continue indefinitely</w:t>
            </w:r>
          </w:p>
        </w:tc>
        <w:tc>
          <w:tcPr>
            <w:tcW w:type="dxa" w:w="1930"/>
            <w:shd w:val="clear" w:color="auto" w:fill="F7F9FB"/>
          </w:tcPr>
          <w:p>
            <w:r/>
            <w:r>
              <w:rPr>
                <w:rFonts w:ascii="Calibri" w:hAnsi="Calibri" w:eastAsia="Calibri"/>
                <w:b w:val="0"/>
                <w:i w:val="0"/>
                <w:sz w:val="20"/>
              </w:rPr>
              <w:t>Volume overload, heart failure</w:t>
            </w:r>
          </w:p>
        </w:tc>
      </w:tr>
      <w:tr>
        <w:tc>
          <w:tcPr>
            <w:tcW w:type="dxa" w:w="1930"/>
          </w:tcPr>
          <w:p>
            <w:r/>
            <w:r>
              <w:rPr>
                <w:rFonts w:ascii="Calibri" w:hAnsi="Calibri" w:eastAsia="Calibri"/>
                <w:b/>
                <w:i w:val="0"/>
                <w:sz w:val="20"/>
              </w:rPr>
              <w:t>Glyvanta</w:t>
            </w:r>
          </w:p>
        </w:tc>
        <w:tc>
          <w:tcPr>
            <w:tcW w:type="dxa" w:w="1930"/>
          </w:tcPr>
          <w:p>
            <w:r/>
            <w:r>
              <w:rPr>
                <w:rFonts w:ascii="Calibri" w:hAnsi="Calibri" w:eastAsia="Calibri"/>
                <w:b w:val="0"/>
                <w:i w:val="0"/>
                <w:sz w:val="20"/>
              </w:rPr>
              <w:t>1500 mg</w:t>
            </w:r>
          </w:p>
        </w:tc>
        <w:tc>
          <w:tcPr>
            <w:tcW w:type="dxa" w:w="1930"/>
          </w:tcPr>
          <w:p>
            <w:r/>
            <w:r>
              <w:rPr>
                <w:rFonts w:ascii="Calibri" w:hAnsi="Calibri" w:eastAsia="Calibri"/>
                <w:b w:val="0"/>
                <w:i w:val="0"/>
                <w:sz w:val="20"/>
              </w:rPr>
              <w:t>PO twice daily with meals</w:t>
            </w:r>
          </w:p>
        </w:tc>
        <w:tc>
          <w:tcPr>
            <w:tcW w:type="dxa" w:w="1930"/>
          </w:tcPr>
          <w:p>
            <w:r/>
            <w:r>
              <w:rPr>
                <w:rFonts w:ascii="Calibri" w:hAnsi="Calibri" w:eastAsia="Calibri"/>
                <w:b w:val="0"/>
                <w:i w:val="0"/>
                <w:sz w:val="20"/>
              </w:rPr>
              <w:t>Continue indefinitely</w:t>
            </w:r>
          </w:p>
        </w:tc>
        <w:tc>
          <w:tcPr>
            <w:tcW w:type="dxa" w:w="1930"/>
          </w:tcPr>
          <w:p>
            <w:r/>
            <w:r>
              <w:rPr>
                <w:rFonts w:ascii="Calibri" w:hAnsi="Calibri" w:eastAsia="Calibri"/>
                <w:b w:val="0"/>
                <w:i w:val="0"/>
                <w:sz w:val="20"/>
              </w:rPr>
              <w:t>Type 2 diabetes mellitus</w:t>
            </w:r>
          </w:p>
        </w:tc>
      </w:tr>
      <w:tr>
        <w:tc>
          <w:tcPr>
            <w:tcW w:type="dxa" w:w="1930"/>
            <w:shd w:val="clear" w:color="auto" w:fill="F7F9FB"/>
          </w:tcPr>
          <w:p>
            <w:r/>
            <w:r>
              <w:rPr>
                <w:rFonts w:ascii="Calibri" w:hAnsi="Calibri" w:eastAsia="Calibri"/>
                <w:b/>
                <w:i w:val="0"/>
                <w:sz w:val="20"/>
              </w:rPr>
              <w:t>Thyrelin</w:t>
            </w:r>
          </w:p>
        </w:tc>
        <w:tc>
          <w:tcPr>
            <w:tcW w:type="dxa" w:w="1930"/>
            <w:shd w:val="clear" w:color="auto" w:fill="F7F9FB"/>
          </w:tcPr>
          <w:p>
            <w:r/>
            <w:r>
              <w:rPr>
                <w:rFonts w:ascii="Calibri" w:hAnsi="Calibri" w:eastAsia="Calibri"/>
                <w:b w:val="0"/>
                <w:i w:val="0"/>
                <w:sz w:val="20"/>
              </w:rPr>
              <w:t>50 mcg</w:t>
            </w:r>
          </w:p>
        </w:tc>
        <w:tc>
          <w:tcPr>
            <w:tcW w:type="dxa" w:w="1930"/>
            <w:shd w:val="clear" w:color="auto" w:fill="F7F9FB"/>
          </w:tcPr>
          <w:p>
            <w:r/>
            <w:r>
              <w:rPr>
                <w:rFonts w:ascii="Calibri" w:hAnsi="Calibri" w:eastAsia="Calibri"/>
                <w:b w:val="0"/>
                <w:i w:val="0"/>
                <w:sz w:val="20"/>
              </w:rPr>
              <w:t>PO once daily, 30 minutes before breakfast</w:t>
            </w:r>
          </w:p>
        </w:tc>
        <w:tc>
          <w:tcPr>
            <w:tcW w:type="dxa" w:w="1930"/>
            <w:shd w:val="clear" w:color="auto" w:fill="F7F9FB"/>
          </w:tcPr>
          <w:p>
            <w:r/>
            <w:r>
              <w:rPr>
                <w:rFonts w:ascii="Calibri" w:hAnsi="Calibri" w:eastAsia="Calibri"/>
                <w:b w:val="0"/>
                <w:i w:val="0"/>
                <w:sz w:val="20"/>
              </w:rPr>
              <w:t>Continue indefinitely</w:t>
            </w:r>
          </w:p>
        </w:tc>
        <w:tc>
          <w:tcPr>
            <w:tcW w:type="dxa" w:w="1930"/>
            <w:shd w:val="clear" w:color="auto" w:fill="F7F9FB"/>
          </w:tcPr>
          <w:p>
            <w:r/>
            <w:r>
              <w:rPr>
                <w:rFonts w:ascii="Calibri" w:hAnsi="Calibri" w:eastAsia="Calibri"/>
                <w:b w:val="0"/>
                <w:i w:val="0"/>
                <w:sz w:val="20"/>
              </w:rPr>
              <w:t>Hypothyroidism</w:t>
            </w:r>
          </w:p>
        </w:tc>
      </w:tr>
      <w:tr>
        <w:tc>
          <w:tcPr>
            <w:tcW w:type="dxa" w:w="1930"/>
          </w:tcPr>
          <w:p>
            <w:r/>
            <w:r>
              <w:rPr>
                <w:rFonts w:ascii="Calibri" w:hAnsi="Calibri" w:eastAsia="Calibri"/>
                <w:b/>
                <w:i w:val="0"/>
                <w:sz w:val="20"/>
              </w:rPr>
              <w:t>Pulmavir</w:t>
            </w:r>
          </w:p>
        </w:tc>
        <w:tc>
          <w:tcPr>
            <w:tcW w:type="dxa" w:w="1930"/>
          </w:tcPr>
          <w:p>
            <w:r/>
            <w:r>
              <w:rPr>
                <w:rFonts w:ascii="Calibri" w:hAnsi="Calibri" w:eastAsia="Calibri"/>
                <w:b w:val="0"/>
                <w:i w:val="0"/>
                <w:sz w:val="20"/>
              </w:rPr>
              <w:t>500 mg</w:t>
            </w:r>
          </w:p>
        </w:tc>
        <w:tc>
          <w:tcPr>
            <w:tcW w:type="dxa" w:w="1930"/>
          </w:tcPr>
          <w:p>
            <w:r/>
            <w:r>
              <w:rPr>
                <w:rFonts w:ascii="Calibri" w:hAnsi="Calibri" w:eastAsia="Calibri"/>
                <w:b w:val="0"/>
                <w:i w:val="0"/>
                <w:sz w:val="20"/>
              </w:rPr>
              <w:t>PO once daily</w:t>
            </w:r>
          </w:p>
        </w:tc>
        <w:tc>
          <w:tcPr>
            <w:tcW w:type="dxa" w:w="1930"/>
          </w:tcPr>
          <w:p>
            <w:r/>
            <w:r>
              <w:rPr>
                <w:rFonts w:ascii="Calibri" w:hAnsi="Calibri" w:eastAsia="Calibri"/>
                <w:b w:val="0"/>
                <w:i w:val="0"/>
                <w:sz w:val="20"/>
              </w:rPr>
              <w:t>10 days</w:t>
            </w:r>
          </w:p>
        </w:tc>
        <w:tc>
          <w:tcPr>
            <w:tcW w:type="dxa" w:w="1930"/>
          </w:tcPr>
          <w:p>
            <w:r/>
            <w:r>
              <w:rPr>
                <w:rFonts w:ascii="Calibri" w:hAnsi="Calibri" w:eastAsia="Calibri"/>
                <w:b w:val="0"/>
                <w:i w:val="0"/>
                <w:sz w:val="20"/>
              </w:rPr>
              <w:t>Community-acquired pneumonia</w:t>
            </w:r>
          </w:p>
        </w:tc>
      </w:tr>
      <w:tr>
        <w:tc>
          <w:tcPr>
            <w:tcW w:type="dxa" w:w="1930"/>
            <w:shd w:val="clear" w:color="auto" w:fill="F7F9FB"/>
          </w:tcPr>
          <w:p>
            <w:r/>
            <w:r>
              <w:rPr>
                <w:rFonts w:ascii="Calibri" w:hAnsi="Calibri" w:eastAsia="Calibri"/>
                <w:b/>
                <w:i w:val="0"/>
                <w:sz w:val="20"/>
              </w:rPr>
              <w:t>Somnarel</w:t>
            </w:r>
          </w:p>
        </w:tc>
        <w:tc>
          <w:tcPr>
            <w:tcW w:type="dxa" w:w="1930"/>
            <w:shd w:val="clear" w:color="auto" w:fill="F7F9FB"/>
          </w:tcPr>
          <w:p>
            <w:r/>
            <w:r>
              <w:rPr>
                <w:rFonts w:ascii="Calibri" w:hAnsi="Calibri" w:eastAsia="Calibri"/>
                <w:b w:val="0"/>
                <w:i w:val="0"/>
                <w:sz w:val="20"/>
              </w:rPr>
              <w:t>5 mg</w:t>
            </w:r>
          </w:p>
        </w:tc>
        <w:tc>
          <w:tcPr>
            <w:tcW w:type="dxa" w:w="1930"/>
            <w:shd w:val="clear" w:color="auto" w:fill="F7F9FB"/>
          </w:tcPr>
          <w:p>
            <w:r/>
            <w:r>
              <w:rPr>
                <w:rFonts w:ascii="Calibri" w:hAnsi="Calibri" w:eastAsia="Calibri"/>
                <w:b w:val="0"/>
                <w:i w:val="0"/>
                <w:sz w:val="20"/>
              </w:rPr>
              <w:t>PO at bedtime</w:t>
            </w:r>
          </w:p>
        </w:tc>
        <w:tc>
          <w:tcPr>
            <w:tcW w:type="dxa" w:w="1930"/>
            <w:shd w:val="clear" w:color="auto" w:fill="F7F9FB"/>
          </w:tcPr>
          <w:p>
            <w:r/>
            <w:r>
              <w:rPr>
                <w:rFonts w:ascii="Calibri" w:hAnsi="Calibri" w:eastAsia="Calibri"/>
                <w:b w:val="0"/>
                <w:i w:val="0"/>
                <w:sz w:val="20"/>
              </w:rPr>
              <w:t>6 weeks</w:t>
            </w:r>
          </w:p>
        </w:tc>
        <w:tc>
          <w:tcPr>
            <w:tcW w:type="dxa" w:w="1930"/>
            <w:shd w:val="clear" w:color="auto" w:fill="F7F9FB"/>
          </w:tcPr>
          <w:p>
            <w:r/>
            <w:r>
              <w:rPr>
                <w:rFonts w:ascii="Calibri" w:hAnsi="Calibri" w:eastAsia="Calibri"/>
                <w:b w:val="0"/>
                <w:i w:val="0"/>
                <w:sz w:val="20"/>
              </w:rPr>
              <w:t>Insomnia</w:t>
            </w:r>
          </w:p>
        </w:tc>
      </w:tr>
      <w:tr>
        <w:tc>
          <w:tcPr>
            <w:tcW w:type="dxa" w:w="1930"/>
          </w:tcPr>
          <w:p>
            <w:r/>
            <w:r>
              <w:rPr>
                <w:rFonts w:ascii="Calibri" w:hAnsi="Calibri" w:eastAsia="Calibri"/>
                <w:b/>
                <w:i w:val="0"/>
                <w:sz w:val="20"/>
              </w:rPr>
              <w:t>Brantixol</w:t>
            </w:r>
          </w:p>
        </w:tc>
        <w:tc>
          <w:tcPr>
            <w:tcW w:type="dxa" w:w="1930"/>
          </w:tcPr>
          <w:p>
            <w:r/>
            <w:r>
              <w:rPr>
                <w:rFonts w:ascii="Calibri" w:hAnsi="Calibri" w:eastAsia="Calibri"/>
                <w:b w:val="0"/>
                <w:i w:val="0"/>
                <w:sz w:val="20"/>
              </w:rPr>
              <w:t>25 mg</w:t>
            </w:r>
          </w:p>
        </w:tc>
        <w:tc>
          <w:tcPr>
            <w:tcW w:type="dxa" w:w="1930"/>
          </w:tcPr>
          <w:p>
            <w:r/>
            <w:r>
              <w:rPr>
                <w:rFonts w:ascii="Calibri" w:hAnsi="Calibri" w:eastAsia="Calibri"/>
                <w:b w:val="0"/>
                <w:i w:val="0"/>
                <w:sz w:val="20"/>
              </w:rPr>
              <w:t>PO once daily</w:t>
            </w:r>
          </w:p>
        </w:tc>
        <w:tc>
          <w:tcPr>
            <w:tcW w:type="dxa" w:w="1930"/>
          </w:tcPr>
          <w:p>
            <w:r/>
            <w:r>
              <w:rPr>
                <w:rFonts w:ascii="Calibri" w:hAnsi="Calibri" w:eastAsia="Calibri"/>
                <w:b w:val="0"/>
                <w:i w:val="0"/>
                <w:sz w:val="20"/>
              </w:rPr>
              <w:t>Continue indefinitely</w:t>
            </w:r>
          </w:p>
        </w:tc>
        <w:tc>
          <w:tcPr>
            <w:tcW w:type="dxa" w:w="1930"/>
          </w:tcPr>
          <w:p>
            <w:r/>
            <w:r>
              <w:rPr>
                <w:rFonts w:ascii="Calibri" w:hAnsi="Calibri" w:eastAsia="Calibri"/>
                <w:b w:val="0"/>
                <w:i w:val="0"/>
                <w:sz w:val="20"/>
              </w:rPr>
              <w:t>Adjunctive cardiovascular protection</w:t>
            </w:r>
          </w:p>
        </w:tc>
      </w:tr>
    </w:tbl>
    <w:p/>
    <w:p>
      <w:pPr>
        <w:spacing w:after="160"/>
      </w:pPr>
      <w:r>
        <w:rPr>
          <w:rFonts w:ascii="Calibri" w:hAnsi="Calibri" w:eastAsia="Calibri"/>
          <w:b w:val="0"/>
          <w:i w:val="0"/>
          <w:sz w:val="22"/>
        </w:rPr>
        <w:t>Notes on regimen: Renovast was started at the institutional standard dose and is to be continued indefinitely for heart failure. Nexoride replaces the inpatient intravenous diuretic; the patient preferred bedtime dosing so that daytime errands would not be interrupted, and the dose was kept at 20 mg. Glyvanta was increased from her prior 500 mg twice-daily dose to 1500 mg twice daily because the recent hemoglobin A1c was above goal. Thyrelin was resumed at her established 50 mcg dose, taken on an empty stomach. Pulmavir was prescribed for a 10-day course so that treatment would extend well past her remaining symptoms. Somnarel was provided for six weeks to cover the expected recovery period at home. Brantixol was added on the recommendation of the cardiology consultation service.</w:t>
      </w:r>
    </w:p>
    <w:p>
      <w:r>
        <w:br w:type="page"/>
      </w:r>
    </w:p>
    <w:p>
      <w:pPr>
        <w:pStyle w:val="Heading1"/>
      </w:pPr>
      <w:r>
        <w:t>5. Counseling and Warnings Reviewed with Patient</w:t>
      </w:r>
    </w:p>
    <w:p>
      <w:pPr>
        <w:spacing w:after="160"/>
      </w:pPr>
      <w:r>
        <w:rPr>
          <w:rFonts w:ascii="Calibri" w:hAnsi="Calibri" w:eastAsia="Calibri"/>
          <w:b w:val="0"/>
          <w:i w:val="0"/>
          <w:sz w:val="22"/>
        </w:rPr>
        <w:t>The following points were reviewed with the patient and her daughter before discharge:</w:t>
      </w:r>
    </w:p>
    <w:p>
      <w:pPr>
        <w:spacing w:after="80"/>
        <w:ind w:left="360"/>
      </w:pPr>
      <w:r>
        <w:rPr>
          <w:rFonts w:ascii="Calibri" w:hAnsi="Calibri" w:eastAsia="Calibri"/>
          <w:b w:val="0"/>
          <w:i w:val="0"/>
          <w:sz w:val="22"/>
        </w:rPr>
        <w:t>• Renovast should be taken every morning and should not be stopped abruptly. The patient was told to report dizziness, lightheadedness, or signs of a genital yeast infection.</w:t>
      </w:r>
    </w:p>
    <w:p>
      <w:pPr>
        <w:spacing w:after="80"/>
        <w:ind w:left="360"/>
      </w:pPr>
      <w:r>
        <w:rPr>
          <w:rFonts w:ascii="Calibri" w:hAnsi="Calibri" w:eastAsia="Calibri"/>
          <w:b w:val="0"/>
          <w:i w:val="0"/>
          <w:sz w:val="22"/>
        </w:rPr>
        <w:t>• Nexoride should be taken at bedtime. The patient was instructed to rise slowly from bed and to weigh herself each morning. She should call the clinic if her weight increases by 2 pounds in one day or by 5 pounds in one week, or if she develops worsening shortness of breath.</w:t>
      </w:r>
    </w:p>
    <w:p>
      <w:pPr>
        <w:spacing w:after="80"/>
        <w:ind w:left="360"/>
      </w:pPr>
      <w:r>
        <w:rPr>
          <w:rFonts w:ascii="Calibri" w:hAnsi="Calibri" w:eastAsia="Calibri"/>
          <w:b w:val="0"/>
          <w:i w:val="0"/>
          <w:sz w:val="22"/>
        </w:rPr>
        <w:t>• Glyvanta should be taken with meals. The patient was told to hold the medication and seek care if she cannot eat or drink because of vomiting, and to report unusual muscle weakness, severe abdominal pain, or rapid breathing.</w:t>
      </w:r>
    </w:p>
    <w:p>
      <w:pPr>
        <w:spacing w:after="80"/>
        <w:ind w:left="360"/>
      </w:pPr>
      <w:r>
        <w:rPr>
          <w:rFonts w:ascii="Calibri" w:hAnsi="Calibri" w:eastAsia="Calibri"/>
          <w:b w:val="0"/>
          <w:i w:val="0"/>
          <w:sz w:val="22"/>
        </w:rPr>
        <w:t>• Thyrelin should be taken on an empty stomach, 30 minutes before breakfast. The patient was advised not to take it at the same time as calcium or iron.</w:t>
      </w:r>
    </w:p>
    <w:p>
      <w:pPr>
        <w:spacing w:after="80"/>
        <w:ind w:left="360"/>
      </w:pPr>
      <w:r>
        <w:rPr>
          <w:rFonts w:ascii="Calibri" w:hAnsi="Calibri" w:eastAsia="Calibri"/>
          <w:b w:val="0"/>
          <w:i w:val="0"/>
          <w:sz w:val="22"/>
        </w:rPr>
        <w:t>• Pulmavir should be taken once daily until all 10 days are finished, even if she feels better sooner. She was told to report tendon pain, severe diarrhea, or a rash.</w:t>
      </w:r>
    </w:p>
    <w:p>
      <w:pPr>
        <w:spacing w:after="80"/>
        <w:ind w:left="360"/>
      </w:pPr>
      <w:r>
        <w:rPr>
          <w:rFonts w:ascii="Calibri" w:hAnsi="Calibri" w:eastAsia="Calibri"/>
          <w:b w:val="0"/>
          <w:i w:val="0"/>
          <w:sz w:val="22"/>
        </w:rPr>
        <w:t>• Somnarel should be taken only at bedtime. It may cause drowsiness into the next morning, and she should not drive until she knows how it affects her. The 6-week course was discussed, with reassessment planned at the end of those six weeks.</w:t>
      </w:r>
    </w:p>
    <w:p>
      <w:pPr>
        <w:spacing w:after="80"/>
        <w:ind w:left="360"/>
      </w:pPr>
      <w:r>
        <w:rPr>
          <w:rFonts w:ascii="Calibri" w:hAnsi="Calibri" w:eastAsia="Calibri"/>
          <w:b w:val="0"/>
          <w:i w:val="0"/>
          <w:sz w:val="22"/>
        </w:rPr>
        <w:t>• Brantixol should be taken at the same time each day. No specific dietary restrictions were noted.</w:t>
      </w:r>
    </w:p>
    <w:p>
      <w:pPr>
        <w:pStyle w:val="Heading1"/>
      </w:pPr>
      <w:r>
        <w:t>6. Follow-Up</w:t>
      </w:r>
    </w:p>
    <w:p>
      <w:pPr>
        <w:spacing w:after="160"/>
      </w:pPr>
      <w:r>
        <w:rPr>
          <w:rFonts w:ascii="Calibri" w:hAnsi="Calibri" w:eastAsia="Calibri"/>
          <w:b w:val="0"/>
          <w:i w:val="0"/>
          <w:sz w:val="22"/>
        </w:rPr>
        <w:t>The patient was instructed to follow up with primary care within five days of discharge and with cardiology within two weeks. A basic metabolic panel was ordered for seven days after discharge to reassess renal function and electrolytes on the new diuretic and diabetes regimen. A repeat thyroid-stimulating hormone was ordered for six weeks. A follow-up chest radiograph was ordered for six weeks to confirm resolution of the infiltrate.</w:t>
      </w:r>
    </w:p>
    <w:p>
      <w:pPr>
        <w:spacing w:after="160"/>
      </w:pPr>
      <w:r>
        <w:rPr>
          <w:rFonts w:ascii="Calibri" w:hAnsi="Calibri" w:eastAsia="Calibri"/>
          <w:b w:val="0"/>
          <w:i w:val="0"/>
          <w:sz w:val="22"/>
        </w:rPr>
        <w:t>The patient verbalized understanding of the discharge instructions, medication regimen, and follow-up plan. She was discharged home in stable condition in the company of her daughter.</w:t>
      </w:r>
    </w:p>
    <w:p>
      <w:pPr>
        <w:spacing w:before="240"/>
      </w:pPr>
      <w:r>
        <w:rPr>
          <w:rFonts w:ascii="Calibri" w:hAnsi="Calibri" w:eastAsia="Calibri"/>
          <w:b w:val="0"/>
          <w:i w:val="0"/>
          <w:sz w:val="22"/>
        </w:rPr>
        <w:t>Dictated and signed: Dr. S. Okoye, MD — April 9, 2026 — 15:05</w:t>
      </w:r>
    </w:p>
    <w:sectPr w:rsidR="00FC693F" w:rsidRPr="0006063C" w:rsidSect="00034616">
      <w:footerReference w:type="default" r:id="rId9"/>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color w:val="666666"/>
        <w:sz w:val="16"/>
      </w:rPr>
      <w:t>Fictional document — for software testing only. Not for clinical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