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648"/>
      </w:tblGrid>
      <w:tr>
        <w:tc>
          <w:tcPr>
            <w:tcW w:type="dxa" w:w="9648"/>
            <w:shd w:val="clear" w:color="auto" w:fill="F4E6C3"/>
          </w:tcPr>
          <w:p>
            <w:pPr>
              <w:jc w:val="left"/>
            </w:pPr>
            <w:r/>
            <w:r>
              <w:rPr>
                <w:rFonts w:ascii="Calibri" w:hAnsi="Calibri" w:eastAsia="Calibri"/>
                <w:b w:val="0"/>
                <w:i/>
                <w:color w:val="5C4A1F"/>
                <w:sz w:val="18"/>
              </w:rPr>
              <w:t>FICTIONAL DOCUMENT — FOR SOFTWARE TESTING ONLY. All drug names, doses, indications, contraindications, and clinical guidance in this document are entirely fictional. Nothing in this document represents real pharmacology and it must not be used for any clinical purpose.</w:t>
            </w:r>
          </w:p>
        </w:tc>
      </w:tr>
    </w:tbl>
    <w:p/>
    <w:p>
      <w:pPr>
        <w:spacing w:after="0" w:before="0"/>
        <w:jc w:val="center"/>
      </w:pPr>
      <w:r>
        <w:rPr>
          <w:rFonts w:ascii="Calibri" w:hAnsi="Calibri" w:eastAsia="Calibri"/>
          <w:b/>
          <w:i w:val="0"/>
          <w:color w:val="1F4E79"/>
          <w:sz w:val="36"/>
        </w:rPr>
        <w:t>NORTHHAVEN COMMUNITY HOSPITAL</w:t>
      </w:r>
    </w:p>
    <w:p>
      <w:pPr>
        <w:spacing w:after="0" w:before="0"/>
        <w:jc w:val="center"/>
      </w:pPr>
      <w:r>
        <w:rPr>
          <w:rFonts w:ascii="Calibri" w:hAnsi="Calibri" w:eastAsia="Calibri"/>
          <w:b w:val="0"/>
          <w:i w:val="0"/>
          <w:sz w:val="24"/>
        </w:rPr>
        <w:t>PHARMACY &amp; THERAPEUTICS COMMITTEE</w:t>
      </w:r>
    </w:p>
    <w:p>
      <w:pPr>
        <w:spacing w:after="0" w:before="0"/>
        <w:jc w:val="center"/>
      </w:pPr>
      <w:r>
        <w:rPr>
          <w:rFonts w:ascii="Calibri" w:hAnsi="Calibri" w:eastAsia="Calibri"/>
          <w:b/>
          <w:i w:val="0"/>
          <w:color w:val="1F4E79"/>
          <w:sz w:val="32"/>
        </w:rPr>
        <w:t>INSTITUTIONAL FORMULARY DIGEST</w:t>
      </w:r>
    </w:p>
    <w:p>
      <w:pPr>
        <w:spacing w:after="160" w:before="0"/>
        <w:jc w:val="center"/>
      </w:pPr>
      <w:r>
        <w:rPr>
          <w:rFonts w:ascii="Calibri" w:hAnsi="Calibri" w:eastAsia="Calibri"/>
          <w:b w:val="0"/>
          <w:i w:val="0"/>
          <w:sz w:val="24"/>
        </w:rPr>
        <w:t>Selected Monographs — Adult Inpatient and Discharge Use</w:t>
      </w:r>
    </w:p>
    <w:p>
      <w:pPr>
        <w:pStyle w:val="Heading1"/>
      </w:pPr>
      <w:r>
        <w:t>Preface</w:t>
      </w:r>
    </w:p>
    <w:p>
      <w:pPr>
        <w:spacing w:after="160"/>
      </w:pPr>
      <w:r>
        <w:rPr>
          <w:rFonts w:ascii="Calibri" w:hAnsi="Calibri" w:eastAsia="Calibri"/>
          <w:b w:val="0"/>
          <w:i w:val="0"/>
          <w:sz w:val="22"/>
        </w:rPr>
        <w:t>This digest is maintained by the Northhaven Community Hospital Pharmacy &amp; Therapeutics Committee and is the institutional reference for adult inpatient and discharge prescribing of the medications listed here. Each monograph states the committee's current position on safe prescribing parameters. The digest is reviewed quarterly. The most recent revision was approved on March 18, 2026.</w:t>
      </w:r>
    </w:p>
    <w:p>
      <w:pPr>
        <w:spacing w:after="160"/>
      </w:pPr>
      <w:r>
        <w:rPr>
          <w:rFonts w:ascii="Calibri" w:hAnsi="Calibri" w:eastAsia="Calibri"/>
          <w:b w:val="0"/>
          <w:i w:val="0"/>
          <w:sz w:val="22"/>
        </w:rPr>
        <w:t>Prescribers should consult the relevant monograph before initiating or counseling on any listed medication. Where this digest differs from manufacturer labeling, the institutional parameters apply. A deviation requires discussion with the on-call pharmacist or the Pharmacy &amp; Therapeutics Committee.</w:t>
      </w:r>
    </w:p>
    <w:p>
      <w:pPr>
        <w:spacing w:after="160"/>
      </w:pPr>
      <w:r>
        <w:rPr>
          <w:rFonts w:ascii="Calibri" w:hAnsi="Calibri" w:eastAsia="Calibri"/>
          <w:b w:val="0"/>
          <w:i w:val="0"/>
          <w:sz w:val="22"/>
        </w:rPr>
        <w:t>Scope of this digest: adult inpatient and discharge prescribing only. Pediatric, obstetric, and outpatient-specialty parameters are addressed in other documents. Absence of a medication from this digest does not by itself mean the medication is non-formulary. Only selected high-volume agents are included. Guidance on an unlisted medication must come from the inpatient pharmacy, not from analogy to the monographs below.</w:t>
      </w:r>
    </w:p>
    <w:p>
      <w:pPr>
        <w:pStyle w:val="Heading1"/>
      </w:pPr>
      <w:r>
        <w:t>I. Heart Failure Agents</w:t>
      </w:r>
    </w:p>
    <w:p>
      <w:pPr>
        <w:spacing w:after="160"/>
      </w:pPr>
      <w:r>
        <w:rPr>
          <w:rFonts w:ascii="Calibri" w:hAnsi="Calibri" w:eastAsia="Calibri"/>
          <w:b w:val="0"/>
          <w:i w:val="0"/>
          <w:sz w:val="22"/>
        </w:rPr>
        <w:t>This section covers agents used for heart failure with reduced ejection fraction and for volume overload in adults admitted to the internal medicine service.</w:t>
      </w:r>
    </w:p>
    <w:p>
      <w:pPr>
        <w:pStyle w:val="Heading2"/>
      </w:pPr>
      <w:r>
        <w:t>Renovast</w:t>
      </w:r>
    </w:p>
    <w:p>
      <w:pPr>
        <w:spacing w:after="160"/>
      </w:pPr>
      <w:r>
        <w:rPr>
          <w:rFonts w:ascii="Calibri" w:hAnsi="Calibri" w:eastAsia="Calibri"/>
          <w:b w:val="0"/>
          <w:i w:val="0"/>
          <w:sz w:val="22"/>
        </w:rPr>
        <w:t>Drug class: Sodium-glucose cotransporter 2 (SGLT2) inhibitor.</w:t>
      </w:r>
    </w:p>
    <w:p>
      <w:pPr>
        <w:spacing w:after="160"/>
      </w:pPr>
      <w:r>
        <w:rPr>
          <w:rFonts w:ascii="Calibri" w:hAnsi="Calibri" w:eastAsia="Calibri"/>
          <w:b w:val="0"/>
          <w:i w:val="0"/>
          <w:sz w:val="22"/>
        </w:rPr>
        <w:t>Indication: Heart failure with reduced ejection fraction, with or without type 2 diabetes. Also acceptable as adjunctive glucose-lowering therapy when heart failure is the primary reason for use.</w:t>
      </w:r>
    </w:p>
    <w:p>
      <w:pPr>
        <w:spacing w:after="160"/>
      </w:pPr>
      <w:r>
        <w:rPr>
          <w:rFonts w:ascii="Calibri" w:hAnsi="Calibri" w:eastAsia="Calibri"/>
          <w:b w:val="0"/>
          <w:i w:val="0"/>
          <w:sz w:val="22"/>
        </w:rPr>
        <w:t>Standard adult dose: 10 mg orally once daily, taken in the morning. No upward titration is used at this institution.</w:t>
      </w:r>
    </w:p>
    <w:p>
      <w:pPr>
        <w:spacing w:after="160"/>
      </w:pPr>
      <w:r>
        <w:rPr>
          <w:rFonts w:ascii="Calibri" w:hAnsi="Calibri" w:eastAsia="Calibri"/>
          <w:b w:val="0"/>
          <w:i w:val="0"/>
          <w:sz w:val="22"/>
        </w:rPr>
        <w:t>Maximum dose: 10 mg orally once daily. There is no additional benefit above 10 mg.</w:t>
      </w:r>
    </w:p>
    <w:p>
      <w:pPr>
        <w:spacing w:after="160"/>
      </w:pPr>
      <w:r>
        <w:rPr>
          <w:rFonts w:ascii="Calibri" w:hAnsi="Calibri" w:eastAsia="Calibri"/>
          <w:b w:val="0"/>
          <w:i w:val="0"/>
          <w:sz w:val="22"/>
        </w:rPr>
        <w:t>Duration: No fixed duration limit. Continue indefinitely while the indication persists and the medication is tolerated.</w:t>
      </w:r>
    </w:p>
    <w:p>
      <w:pPr>
        <w:spacing w:after="160"/>
      </w:pPr>
      <w:r>
        <w:rPr>
          <w:rFonts w:ascii="Calibri" w:hAnsi="Calibri" w:eastAsia="Calibri"/>
          <w:b w:val="0"/>
          <w:i w:val="0"/>
          <w:sz w:val="22"/>
        </w:rPr>
        <w:t>Contraindications: Dialysis or estimated glomerular filtration rate persistently below 20 mL/min/1.73 m². Prior diabetic ketoacidosis attributed to an SGLT2 inhibitor. Pregnancy.</w:t>
      </w:r>
    </w:p>
    <w:p>
      <w:pPr>
        <w:spacing w:after="160"/>
      </w:pPr>
      <w:r>
        <w:rPr>
          <w:rFonts w:ascii="Calibri" w:hAnsi="Calibri" w:eastAsia="Calibri"/>
          <w:b w:val="0"/>
          <w:i w:val="0"/>
          <w:sz w:val="22"/>
        </w:rPr>
        <w:t>Significant interactions: Concurrent loop diuretics increase the chance of volume depletion; the diuretic dose may need reduction after euvolemia is reached, but the combination itself is permitted. Renovast may increase the risk of genital mycotic infection.</w:t>
      </w:r>
    </w:p>
    <w:p>
      <w:pPr>
        <w:spacing w:after="160"/>
      </w:pPr>
      <w:r>
        <w:rPr>
          <w:rFonts w:ascii="Calibri" w:hAnsi="Calibri" w:eastAsia="Calibri"/>
          <w:b w:val="0"/>
          <w:i w:val="0"/>
          <w:sz w:val="22"/>
        </w:rPr>
        <w:t>Monitoring: Renal function and volume status within 1–2 weeks of initiation. Counsel the patient to report dizziness or symptoms of genital yeast infection.</w:t>
      </w:r>
    </w:p>
    <w:p>
      <w:pPr>
        <w:spacing w:after="160"/>
      </w:pPr>
      <w:r>
        <w:rPr>
          <w:rFonts w:ascii="Calibri" w:hAnsi="Calibri" w:eastAsia="Calibri"/>
          <w:b w:val="0"/>
          <w:i w:val="0"/>
          <w:sz w:val="22"/>
        </w:rPr>
        <w:t>Common adverse effects: Genital mycotic infection, increased urination, dizziness from volume depletion. Rare but serious: euglycemic ketoacidosis, particularly during prolonged poor oral intake.</w:t>
      </w:r>
    </w:p>
    <w:p>
      <w:pPr>
        <w:spacing w:after="160"/>
      </w:pPr>
      <w:r>
        <w:rPr>
          <w:rFonts w:ascii="Calibri" w:hAnsi="Calibri" w:eastAsia="Calibri"/>
          <w:b w:val="0"/>
          <w:i w:val="0"/>
          <w:sz w:val="22"/>
        </w:rPr>
        <w:t>Prescribing notes: Morning administration is preferred so that extra urination occurs during waking hours. Patients should not stop Renovast abruptly before surgery without a plan discussed with the surgical and pharmacy services.</w:t>
      </w:r>
    </w:p>
    <w:p>
      <w:r>
        <w:br w:type="page"/>
      </w:r>
    </w:p>
    <w:p>
      <w:pPr>
        <w:pStyle w:val="Heading2"/>
      </w:pPr>
      <w:r>
        <w:t>Nexoride</w:t>
      </w:r>
    </w:p>
    <w:p>
      <w:pPr>
        <w:spacing w:after="160"/>
      </w:pPr>
      <w:r>
        <w:rPr>
          <w:rFonts w:ascii="Calibri" w:hAnsi="Calibri" w:eastAsia="Calibri"/>
          <w:b w:val="0"/>
          <w:i w:val="0"/>
          <w:sz w:val="22"/>
        </w:rPr>
        <w:t>Drug class: Loop diuretic.</w:t>
      </w:r>
    </w:p>
    <w:p>
      <w:pPr>
        <w:spacing w:after="160"/>
      </w:pPr>
      <w:r>
        <w:rPr>
          <w:rFonts w:ascii="Calibri" w:hAnsi="Calibri" w:eastAsia="Calibri"/>
          <w:b w:val="0"/>
          <w:i w:val="0"/>
          <w:sz w:val="22"/>
        </w:rPr>
        <w:t>Indication: Volume overload due to heart failure. Not indicated for hypertension alone.</w:t>
      </w:r>
    </w:p>
    <w:p>
      <w:pPr>
        <w:spacing w:after="160"/>
      </w:pPr>
      <w:r>
        <w:rPr>
          <w:rFonts w:ascii="Calibri" w:hAnsi="Calibri" w:eastAsia="Calibri"/>
          <w:b w:val="0"/>
          <w:i w:val="0"/>
          <w:sz w:val="22"/>
        </w:rPr>
        <w:t>Standard adult dose: 20 mg orally once daily, taken in the morning. The dose may be increased by 20 mg increments when congestion persists and renal function and electrolytes remain acceptable.</w:t>
      </w:r>
    </w:p>
    <w:p>
      <w:pPr>
        <w:spacing w:after="160"/>
      </w:pPr>
      <w:r>
        <w:rPr>
          <w:rFonts w:ascii="Calibri" w:hAnsi="Calibri" w:eastAsia="Calibri"/>
          <w:b w:val="0"/>
          <w:i w:val="0"/>
          <w:sz w:val="22"/>
        </w:rPr>
        <w:t>Maximum dose: 80 mg orally once daily, taken in the morning.</w:t>
      </w:r>
    </w:p>
    <w:p>
      <w:pPr>
        <w:spacing w:after="160"/>
      </w:pPr>
      <w:r>
        <w:rPr>
          <w:rFonts w:ascii="Calibri" w:hAnsi="Calibri" w:eastAsia="Calibri"/>
          <w:b w:val="0"/>
          <w:i w:val="0"/>
          <w:sz w:val="22"/>
        </w:rPr>
        <w:t>Duration: No fixed duration limit. Continue while clinical evidence of volume management is required. Reassess the dose after euvolemia is achieved.</w:t>
      </w:r>
    </w:p>
    <w:p>
      <w:pPr>
        <w:spacing w:after="160"/>
      </w:pPr>
      <w:r>
        <w:rPr>
          <w:rFonts w:ascii="Calibri" w:hAnsi="Calibri" w:eastAsia="Calibri"/>
          <w:b w:val="0"/>
          <w:i w:val="0"/>
          <w:sz w:val="22"/>
        </w:rPr>
        <w:t>Contraindications: Anuria. Known hypersensitivity to Nexoride. Severe hypokalemia or hypovolemia until corrected.</w:t>
      </w:r>
    </w:p>
    <w:p>
      <w:pPr>
        <w:spacing w:after="160"/>
      </w:pPr>
      <w:r>
        <w:rPr>
          <w:rFonts w:ascii="Calibri" w:hAnsi="Calibri" w:eastAsia="Calibri"/>
          <w:b w:val="0"/>
          <w:i w:val="0"/>
          <w:sz w:val="22"/>
        </w:rPr>
        <w:t>Significant interactions: Combined use with Renovast increases volume depletion and dizziness. Nonsteroidal anti-inflammatory drugs reduce the diuretic response and increase the risk of kidney injury.</w:t>
      </w:r>
    </w:p>
    <w:p>
      <w:pPr>
        <w:spacing w:after="160"/>
      </w:pPr>
      <w:r>
        <w:rPr>
          <w:rFonts w:ascii="Calibri" w:hAnsi="Calibri" w:eastAsia="Calibri"/>
          <w:b w:val="0"/>
          <w:i w:val="0"/>
          <w:sz w:val="22"/>
        </w:rPr>
        <w:t>Monitoring: Basic metabolic panel within seven days of discharge and after any dose change. Daily weights at home. Hold and call the prescriber for marked dizziness, syncope, or a large unexpected weight loss.</w:t>
      </w:r>
    </w:p>
    <w:p>
      <w:pPr>
        <w:spacing w:after="160"/>
      </w:pPr>
      <w:r>
        <w:rPr>
          <w:rFonts w:ascii="Calibri" w:hAnsi="Calibri" w:eastAsia="Calibri"/>
          <w:b w:val="0"/>
          <w:i w:val="0"/>
          <w:sz w:val="22"/>
        </w:rPr>
        <w:t>Common adverse effects: Increased urination, dizziness, hypokalemia, hypomagnesemia, and worsening renal function if overdiuresed.</w:t>
      </w:r>
    </w:p>
    <w:p>
      <w:pPr>
        <w:spacing w:after="160"/>
      </w:pPr>
      <w:r>
        <w:rPr>
          <w:rFonts w:ascii="Calibri" w:hAnsi="Calibri" w:eastAsia="Calibri"/>
          <w:b w:val="0"/>
          <w:i w:val="0"/>
          <w:sz w:val="22"/>
        </w:rPr>
        <w:t>Prescribing notes: Nexoride must be administered in the morning, not at bedtime. Bedtime administration causes nocturia and increases the risk of nighttime falls. A patient preference for evening dosing is not an acceptable reason to move the dose to bedtime.</w:t>
      </w:r>
    </w:p>
    <w:p>
      <w:pPr>
        <w:pStyle w:val="Heading1"/>
      </w:pPr>
      <w:r>
        <w:t>II. Endocrine Agents</w:t>
      </w:r>
    </w:p>
    <w:p>
      <w:pPr>
        <w:spacing w:after="160"/>
      </w:pPr>
      <w:r>
        <w:rPr>
          <w:rFonts w:ascii="Calibri" w:hAnsi="Calibri" w:eastAsia="Calibri"/>
          <w:b w:val="0"/>
          <w:i w:val="0"/>
          <w:sz w:val="22"/>
        </w:rPr>
        <w:t>This section covers glucose-lowering therapy and thyroid hormone replacement used for adult inpatients at discharge.</w:t>
      </w:r>
    </w:p>
    <w:p>
      <w:r>
        <w:br w:type="page"/>
      </w:r>
    </w:p>
    <w:p>
      <w:pPr>
        <w:pStyle w:val="Heading2"/>
      </w:pPr>
      <w:r>
        <w:t>Glyvanta</w:t>
      </w:r>
    </w:p>
    <w:p>
      <w:pPr>
        <w:spacing w:after="160"/>
      </w:pPr>
      <w:r>
        <w:rPr>
          <w:rFonts w:ascii="Calibri" w:hAnsi="Calibri" w:eastAsia="Calibri"/>
          <w:b w:val="0"/>
          <w:i w:val="0"/>
          <w:sz w:val="22"/>
        </w:rPr>
        <w:t>Drug class: Biguanide antihyperglycemic.</w:t>
      </w:r>
    </w:p>
    <w:p>
      <w:pPr>
        <w:spacing w:after="160"/>
      </w:pPr>
      <w:r>
        <w:rPr>
          <w:rFonts w:ascii="Calibri" w:hAnsi="Calibri" w:eastAsia="Calibri"/>
          <w:b w:val="0"/>
          <w:i w:val="0"/>
          <w:sz w:val="22"/>
        </w:rPr>
        <w:t>Indication: Type 2 diabetes mellitus when estimated glomerular filtration rate is at least 30 mL/min/1.73 m².</w:t>
      </w:r>
    </w:p>
    <w:p>
      <w:pPr>
        <w:spacing w:after="160"/>
      </w:pPr>
      <w:r>
        <w:rPr>
          <w:rFonts w:ascii="Calibri" w:hAnsi="Calibri" w:eastAsia="Calibri"/>
          <w:b w:val="0"/>
          <w:i w:val="0"/>
          <w:sz w:val="22"/>
        </w:rPr>
        <w:t>Standard adult dose: 500 mg orally twice daily, taken with meals. Increase only after at least two weeks if glycemic goals are not met and the current dose is tolerated.</w:t>
      </w:r>
    </w:p>
    <w:p>
      <w:pPr>
        <w:spacing w:after="160"/>
      </w:pPr>
      <w:r>
        <w:rPr>
          <w:rFonts w:ascii="Calibri" w:hAnsi="Calibri" w:eastAsia="Calibri"/>
          <w:b w:val="0"/>
          <w:i w:val="0"/>
          <w:sz w:val="22"/>
        </w:rPr>
        <w:t>Maximum dose: 1000 mg orally twice daily. A single dose must not exceed 1000 mg, and the total daily dose must not exceed 2000 mg. Doses above 1000 mg twice daily increase the risk of severe gastrointestinal toxicity and lactic acidosis and are not permitted.</w:t>
      </w:r>
    </w:p>
    <w:p>
      <w:pPr>
        <w:spacing w:after="160"/>
      </w:pPr>
      <w:r>
        <w:rPr>
          <w:rFonts w:ascii="Calibri" w:hAnsi="Calibri" w:eastAsia="Calibri"/>
          <w:b w:val="0"/>
          <w:i w:val="0"/>
          <w:sz w:val="22"/>
        </w:rPr>
        <w:t>Duration: No fixed duration limit. Continue indefinitely while type 2 diabetes remains an indication and renal function stays within limits.</w:t>
      </w:r>
    </w:p>
    <w:p>
      <w:pPr>
        <w:spacing w:after="160"/>
      </w:pPr>
      <w:r>
        <w:rPr>
          <w:rFonts w:ascii="Calibri" w:hAnsi="Calibri" w:eastAsia="Calibri"/>
          <w:b w:val="0"/>
          <w:i w:val="0"/>
          <w:sz w:val="22"/>
        </w:rPr>
        <w:t>Contraindications: Estimated glomerular filtration rate below 30 mL/min/1.73 m². Acute decompensated illness with poor oral intake until eating and drinking have resumed. Known hypersensitivity. Metabolic acidosis, including diabetic ketoacidosis.</w:t>
      </w:r>
    </w:p>
    <w:p>
      <w:pPr>
        <w:spacing w:after="160"/>
      </w:pPr>
      <w:r>
        <w:rPr>
          <w:rFonts w:ascii="Calibri" w:hAnsi="Calibri" w:eastAsia="Calibri"/>
          <w:b w:val="0"/>
          <w:i w:val="0"/>
          <w:sz w:val="22"/>
        </w:rPr>
        <w:t>Significant interactions: Iodinated contrast requires a hold around the exposure according to the radiology protocol. Alcohol excess increases the risk of lactic acidosis.</w:t>
      </w:r>
    </w:p>
    <w:p>
      <w:pPr>
        <w:spacing w:after="160"/>
      </w:pPr>
      <w:r>
        <w:rPr>
          <w:rFonts w:ascii="Calibri" w:hAnsi="Calibri" w:eastAsia="Calibri"/>
          <w:b w:val="0"/>
          <w:i w:val="0"/>
          <w:sz w:val="22"/>
        </w:rPr>
        <w:t>Monitoring: Renal function at baseline and within one to two weeks after a dose increase. Hemoglobin A1c at the usual outpatient interval. Hold the medication and seek care if the patient cannot eat or drink.</w:t>
      </w:r>
    </w:p>
    <w:p>
      <w:pPr>
        <w:spacing w:after="160"/>
      </w:pPr>
      <w:r>
        <w:rPr>
          <w:rFonts w:ascii="Calibri" w:hAnsi="Calibri" w:eastAsia="Calibri"/>
          <w:b w:val="0"/>
          <w:i w:val="0"/>
          <w:sz w:val="22"/>
        </w:rPr>
        <w:t>Common adverse effects: Nausea, diarrhea, abdominal discomfort, and metallic taste, more often at higher doses. Rare but serious: lactic acidosis, presenting with unusual weakness, severe abdominal pain, or rapid breathing.</w:t>
      </w:r>
    </w:p>
    <w:p>
      <w:pPr>
        <w:spacing w:after="160"/>
      </w:pPr>
      <w:r>
        <w:rPr>
          <w:rFonts w:ascii="Calibri" w:hAnsi="Calibri" w:eastAsia="Calibri"/>
          <w:b w:val="0"/>
          <w:i w:val="0"/>
          <w:sz w:val="22"/>
        </w:rPr>
        <w:t>Prescribing notes: Glyvanta is taken with meals to improve tolerability. Do not start or discharge a patient on more than 1000 mg twice daily. An elevated hemoglobin A1c is a reason to reassess therapy, not a reason to exceed the maximum dose.</w:t>
      </w:r>
    </w:p>
    <w:p>
      <w:r>
        <w:br w:type="page"/>
      </w:r>
    </w:p>
    <w:p>
      <w:pPr>
        <w:pStyle w:val="Heading2"/>
      </w:pPr>
      <w:r>
        <w:t>Thyrelin</w:t>
      </w:r>
    </w:p>
    <w:p>
      <w:pPr>
        <w:spacing w:after="160"/>
      </w:pPr>
      <w:r>
        <w:rPr>
          <w:rFonts w:ascii="Calibri" w:hAnsi="Calibri" w:eastAsia="Calibri"/>
          <w:b w:val="0"/>
          <w:i w:val="0"/>
          <w:sz w:val="22"/>
        </w:rPr>
        <w:t>Drug class: Synthetic thyroid hormone.</w:t>
      </w:r>
    </w:p>
    <w:p>
      <w:pPr>
        <w:spacing w:after="160"/>
      </w:pPr>
      <w:r>
        <w:rPr>
          <w:rFonts w:ascii="Calibri" w:hAnsi="Calibri" w:eastAsia="Calibri"/>
          <w:b w:val="0"/>
          <w:i w:val="0"/>
          <w:sz w:val="22"/>
        </w:rPr>
        <w:t>Indication: Hypothyroidism requiring replacement.</w:t>
      </w:r>
    </w:p>
    <w:p>
      <w:pPr>
        <w:spacing w:after="160"/>
      </w:pPr>
      <w:r>
        <w:rPr>
          <w:rFonts w:ascii="Calibri" w:hAnsi="Calibri" w:eastAsia="Calibri"/>
          <w:b w:val="0"/>
          <w:i w:val="0"/>
          <w:sz w:val="22"/>
        </w:rPr>
        <w:t>Standard adult dose: 50 mcg orally once daily for a stable adult already maintained on that dose, or as an initial replacement dose in older adults and in patients with cardiac disease. The dose is taken on an empty stomach, 30 minutes before breakfast.</w:t>
      </w:r>
    </w:p>
    <w:p>
      <w:pPr>
        <w:spacing w:after="160"/>
      </w:pPr>
      <w:r>
        <w:rPr>
          <w:rFonts w:ascii="Calibri" w:hAnsi="Calibri" w:eastAsia="Calibri"/>
          <w:b w:val="0"/>
          <w:i w:val="0"/>
          <w:sz w:val="22"/>
        </w:rPr>
        <w:t>Maximum dose: 200 mcg orally once daily. Doses above 200 mcg require endocrinology review before they are prescribed.</w:t>
      </w:r>
    </w:p>
    <w:p>
      <w:pPr>
        <w:spacing w:after="160"/>
      </w:pPr>
      <w:r>
        <w:rPr>
          <w:rFonts w:ascii="Calibri" w:hAnsi="Calibri" w:eastAsia="Calibri"/>
          <w:b w:val="0"/>
          <w:i w:val="0"/>
          <w:sz w:val="22"/>
        </w:rPr>
        <w:t>Duration: No fixed duration limit. Replacement is continued indefinitely unless the diagnosis of hypothyroidism is revised.</w:t>
      </w:r>
    </w:p>
    <w:p>
      <w:pPr>
        <w:spacing w:after="160"/>
      </w:pPr>
      <w:r>
        <w:rPr>
          <w:rFonts w:ascii="Calibri" w:hAnsi="Calibri" w:eastAsia="Calibri"/>
          <w:b w:val="0"/>
          <w:i w:val="0"/>
          <w:sz w:val="22"/>
        </w:rPr>
        <w:t>Contraindications: Uncorrected adrenal insufficiency. Thyrotoxicosis. Acute myocardial infarction until the patient is stable, unless endocrinology directs otherwise.</w:t>
      </w:r>
    </w:p>
    <w:p>
      <w:pPr>
        <w:spacing w:after="160"/>
      </w:pPr>
      <w:r>
        <w:rPr>
          <w:rFonts w:ascii="Calibri" w:hAnsi="Calibri" w:eastAsia="Calibri"/>
          <w:b w:val="0"/>
          <w:i w:val="0"/>
          <w:sz w:val="22"/>
        </w:rPr>
        <w:t>Significant interactions: Calcium, iron, and some antacids bind Thyrelin and must be separated by at least four hours. Food taken with the tablet reduces absorption.</w:t>
      </w:r>
    </w:p>
    <w:p>
      <w:pPr>
        <w:spacing w:after="160"/>
      </w:pPr>
      <w:r>
        <w:rPr>
          <w:rFonts w:ascii="Calibri" w:hAnsi="Calibri" w:eastAsia="Calibri"/>
          <w:b w:val="0"/>
          <w:i w:val="0"/>
          <w:sz w:val="22"/>
        </w:rPr>
        <w:t>Monitoring: Thyroid-stimulating hormone six to eight weeks after initiation or after any dose change. Do not adjust the dose on symptoms alone before that result is available.</w:t>
      </w:r>
    </w:p>
    <w:p>
      <w:pPr>
        <w:spacing w:after="160"/>
      </w:pPr>
      <w:r>
        <w:rPr>
          <w:rFonts w:ascii="Calibri" w:hAnsi="Calibri" w:eastAsia="Calibri"/>
          <w:b w:val="0"/>
          <w:i w:val="0"/>
          <w:sz w:val="22"/>
        </w:rPr>
        <w:t>Common adverse effects: At excessive doses, palpitations, tremor, insomnia, and weight loss. A correctly dosed patient should not be symptomatic from the replacement itself.</w:t>
      </w:r>
    </w:p>
    <w:p>
      <w:pPr>
        <w:spacing w:after="160"/>
      </w:pPr>
      <w:r>
        <w:rPr>
          <w:rFonts w:ascii="Calibri" w:hAnsi="Calibri" w:eastAsia="Calibri"/>
          <w:b w:val="0"/>
          <w:i w:val="0"/>
          <w:sz w:val="22"/>
        </w:rPr>
        <w:t>Prescribing notes: Counsel the patient to take Thyrelin on an empty stomach 30 minutes before breakfast and not together with calcium or iron. Morning administration before food is required for reliable absorption.</w:t>
      </w:r>
    </w:p>
    <w:p>
      <w:pPr>
        <w:pStyle w:val="Heading1"/>
      </w:pPr>
      <w:r>
        <w:t>III. Anti-infective Agents</w:t>
      </w:r>
    </w:p>
    <w:p>
      <w:pPr>
        <w:spacing w:after="160"/>
      </w:pPr>
      <w:r>
        <w:rPr>
          <w:rFonts w:ascii="Calibri" w:hAnsi="Calibri" w:eastAsia="Calibri"/>
          <w:b w:val="0"/>
          <w:i w:val="0"/>
          <w:sz w:val="22"/>
        </w:rPr>
        <w:t>This section covers oral agents commonly selected at discharge for community-acquired pneumonia and for related respiratory infections in adults.</w:t>
      </w:r>
    </w:p>
    <w:p>
      <w:r>
        <w:br w:type="page"/>
      </w:r>
    </w:p>
    <w:p>
      <w:pPr>
        <w:pStyle w:val="Heading2"/>
      </w:pPr>
      <w:r>
        <w:t>Pulmavir</w:t>
      </w:r>
    </w:p>
    <w:p>
      <w:pPr>
        <w:spacing w:after="160"/>
      </w:pPr>
      <w:r>
        <w:rPr>
          <w:rFonts w:ascii="Calibri" w:hAnsi="Calibri" w:eastAsia="Calibri"/>
          <w:b w:val="0"/>
          <w:i w:val="0"/>
          <w:sz w:val="22"/>
        </w:rPr>
        <w:t>Drug class: Respiratory fluoroquinolone.</w:t>
      </w:r>
    </w:p>
    <w:p>
      <w:pPr>
        <w:spacing w:after="160"/>
      </w:pPr>
      <w:r>
        <w:rPr>
          <w:rFonts w:ascii="Calibri" w:hAnsi="Calibri" w:eastAsia="Calibri"/>
          <w:b w:val="0"/>
          <w:i w:val="0"/>
          <w:sz w:val="22"/>
        </w:rPr>
        <w:t>Indication: Community-acquired pneumonia in adults when a respiratory fluoroquinolone is an appropriate institutional choice.</w:t>
      </w:r>
    </w:p>
    <w:p>
      <w:pPr>
        <w:spacing w:after="160"/>
      </w:pPr>
      <w:r>
        <w:rPr>
          <w:rFonts w:ascii="Calibri" w:hAnsi="Calibri" w:eastAsia="Calibri"/>
          <w:b w:val="0"/>
          <w:i w:val="0"/>
          <w:sz w:val="22"/>
        </w:rPr>
        <w:t>Standard adult dose: 500 mg orally once daily for 5 days.</w:t>
      </w:r>
    </w:p>
    <w:p>
      <w:pPr>
        <w:spacing w:after="160"/>
      </w:pPr>
      <w:r>
        <w:rPr>
          <w:rFonts w:ascii="Calibri" w:hAnsi="Calibri" w:eastAsia="Calibri"/>
          <w:b w:val="0"/>
          <w:i w:val="0"/>
          <w:sz w:val="22"/>
        </w:rPr>
        <w:t>Maximum dose: 500 mg orally once daily. Higher daily doses are not used.</w:t>
      </w:r>
    </w:p>
    <w:p>
      <w:pPr>
        <w:spacing w:after="160"/>
      </w:pPr>
      <w:r>
        <w:rPr>
          <w:rFonts w:ascii="Calibri" w:hAnsi="Calibri" w:eastAsia="Calibri"/>
          <w:b w:val="0"/>
          <w:i w:val="0"/>
          <w:sz w:val="22"/>
        </w:rPr>
        <w:t>Maximum duration: 7 days. A course longer than 7 days is not permitted for community-acquired pneumonia. Extending therapy because symptoms have not fully resolved is not an accepted reason to pass 7 days; persistent symptoms require clinical reassessment rather than a longer default course.</w:t>
      </w:r>
    </w:p>
    <w:p>
      <w:pPr>
        <w:spacing w:after="160"/>
      </w:pPr>
      <w:r>
        <w:rPr>
          <w:rFonts w:ascii="Calibri" w:hAnsi="Calibri" w:eastAsia="Calibri"/>
          <w:b w:val="0"/>
          <w:i w:val="0"/>
          <w:sz w:val="22"/>
        </w:rPr>
        <w:t>Duration: The usual course is 5 days. The prescriber may extend to a maximum of 7 days when the patient was slower to defervesce. Ten-day courses are outside this monograph.</w:t>
      </w:r>
    </w:p>
    <w:p>
      <w:pPr>
        <w:spacing w:after="160"/>
      </w:pPr>
      <w:r>
        <w:rPr>
          <w:rFonts w:ascii="Calibri" w:hAnsi="Calibri" w:eastAsia="Calibri"/>
          <w:b w:val="0"/>
          <w:i w:val="0"/>
          <w:sz w:val="22"/>
        </w:rPr>
        <w:t>Contraindications: History of tendon disorder related to a fluoroquinolone. Known hypersensitivity to Pulmavir. Myasthenia gravis.</w:t>
      </w:r>
    </w:p>
    <w:p>
      <w:pPr>
        <w:spacing w:after="160"/>
      </w:pPr>
      <w:r>
        <w:rPr>
          <w:rFonts w:ascii="Calibri" w:hAnsi="Calibri" w:eastAsia="Calibri"/>
          <w:b w:val="0"/>
          <w:i w:val="0"/>
          <w:sz w:val="22"/>
        </w:rPr>
        <w:t>Significant interactions: Calcium, iron, and antacids reduce absorption and should be separated by several hours. Concurrent corticosteroids increase the risk of tendon injury.</w:t>
      </w:r>
    </w:p>
    <w:p>
      <w:pPr>
        <w:spacing w:after="160"/>
      </w:pPr>
      <w:r>
        <w:rPr>
          <w:rFonts w:ascii="Calibri" w:hAnsi="Calibri" w:eastAsia="Calibri"/>
          <w:b w:val="0"/>
          <w:i w:val="0"/>
          <w:sz w:val="22"/>
        </w:rPr>
        <w:t>Monitoring: No routine laboratory monitoring is required for a standard course. Patients should stop the drug and call if they develop tendon pain, severe watery diarrhea, confusion, or a rash.</w:t>
      </w:r>
    </w:p>
    <w:p>
      <w:pPr>
        <w:spacing w:after="160"/>
      </w:pPr>
      <w:r>
        <w:rPr>
          <w:rFonts w:ascii="Calibri" w:hAnsi="Calibri" w:eastAsia="Calibri"/>
          <w:b w:val="0"/>
          <w:i w:val="0"/>
          <w:sz w:val="22"/>
        </w:rPr>
        <w:t>Common adverse effects: Nausea, headache, dizziness, and loose stools. Uncommon but serious: tendinopathy, Clostridioides difficile infection, and QT prolongation.</w:t>
      </w:r>
    </w:p>
    <w:p>
      <w:pPr>
        <w:spacing w:after="160"/>
      </w:pPr>
      <w:r>
        <w:rPr>
          <w:rFonts w:ascii="Calibri" w:hAnsi="Calibri" w:eastAsia="Calibri"/>
          <w:b w:val="0"/>
          <w:i w:val="0"/>
          <w:sz w:val="22"/>
        </w:rPr>
        <w:t>Prescribing notes: Discharge prescriptions should state a 5-day course unless the record documents a reason for extension, in which case the stop date must still fall on or before day 7.</w:t>
      </w:r>
    </w:p>
    <w:p>
      <w:r>
        <w:br w:type="page"/>
      </w:r>
    </w:p>
    <w:p>
      <w:pPr>
        <w:pStyle w:val="Heading2"/>
      </w:pPr>
      <w:r>
        <w:t>Oxacend</w:t>
      </w:r>
    </w:p>
    <w:p>
      <w:pPr>
        <w:spacing w:after="160"/>
      </w:pPr>
      <w:r>
        <w:rPr>
          <w:rFonts w:ascii="Calibri" w:hAnsi="Calibri" w:eastAsia="Calibri"/>
          <w:b w:val="0"/>
          <w:i w:val="0"/>
          <w:sz w:val="22"/>
        </w:rPr>
        <w:t>Drug class: Aminopenicillin with beta-lactamase inhibitor.</w:t>
      </w:r>
    </w:p>
    <w:p>
      <w:pPr>
        <w:spacing w:after="160"/>
      </w:pPr>
      <w:r>
        <w:rPr>
          <w:rFonts w:ascii="Calibri" w:hAnsi="Calibri" w:eastAsia="Calibri"/>
          <w:b w:val="0"/>
          <w:i w:val="0"/>
          <w:sz w:val="22"/>
        </w:rPr>
        <w:t>Indication: Selected respiratory and sinus infections, and bite wounds, when this agent matches the suspected organisms. It is an alternative for some community-acquired pneumonias and is not automatically paired with Pulmavir.</w:t>
      </w:r>
    </w:p>
    <w:p>
      <w:pPr>
        <w:spacing w:after="160"/>
      </w:pPr>
      <w:r>
        <w:rPr>
          <w:rFonts w:ascii="Calibri" w:hAnsi="Calibri" w:eastAsia="Calibri"/>
          <w:b w:val="0"/>
          <w:i w:val="0"/>
          <w:sz w:val="22"/>
        </w:rPr>
        <w:t>Standard adult dose: 875 mg orally twice daily for 5 to 7 days, taken at the start of a meal to reduce gastrointestinal upset.</w:t>
      </w:r>
    </w:p>
    <w:p>
      <w:pPr>
        <w:spacing w:after="160"/>
      </w:pPr>
      <w:r>
        <w:rPr>
          <w:rFonts w:ascii="Calibri" w:hAnsi="Calibri" w:eastAsia="Calibri"/>
          <w:b w:val="0"/>
          <w:i w:val="0"/>
          <w:sz w:val="22"/>
        </w:rPr>
        <w:t>Maximum dose: 875 mg orally twice daily. More frequent dosing is not used for respiratory infection at this institution.</w:t>
      </w:r>
    </w:p>
    <w:p>
      <w:pPr>
        <w:spacing w:after="160"/>
      </w:pPr>
      <w:r>
        <w:rPr>
          <w:rFonts w:ascii="Calibri" w:hAnsi="Calibri" w:eastAsia="Calibri"/>
          <w:b w:val="0"/>
          <w:i w:val="0"/>
          <w:sz w:val="22"/>
        </w:rPr>
        <w:t>Maximum duration: 7 days for community-acquired pneumonia. A longer course requires infectious-diseases documentation.</w:t>
      </w:r>
    </w:p>
    <w:p>
      <w:pPr>
        <w:spacing w:after="160"/>
      </w:pPr>
      <w:r>
        <w:rPr>
          <w:rFonts w:ascii="Calibri" w:hAnsi="Calibri" w:eastAsia="Calibri"/>
          <w:b w:val="0"/>
          <w:i w:val="0"/>
          <w:sz w:val="22"/>
        </w:rPr>
        <w:t>Duration: 5 days is usual. Do not continue past 7 days for an uncomplicated respiratory infection.</w:t>
      </w:r>
    </w:p>
    <w:p>
      <w:pPr>
        <w:spacing w:after="160"/>
      </w:pPr>
      <w:r>
        <w:rPr>
          <w:rFonts w:ascii="Calibri" w:hAnsi="Calibri" w:eastAsia="Calibri"/>
          <w:b w:val="0"/>
          <w:i w:val="0"/>
          <w:sz w:val="22"/>
        </w:rPr>
        <w:t>Contraindications: History of cholestatic jaundice associated with this combination. Serious hypersensitivity to penicillins.</w:t>
      </w:r>
    </w:p>
    <w:p>
      <w:pPr>
        <w:spacing w:after="160"/>
      </w:pPr>
      <w:r>
        <w:rPr>
          <w:rFonts w:ascii="Calibri" w:hAnsi="Calibri" w:eastAsia="Calibri"/>
          <w:b w:val="0"/>
          <w:i w:val="0"/>
          <w:sz w:val="22"/>
        </w:rPr>
        <w:t>Significant interactions: Oxacend may increase the anticoagulant effect of vitamin K antagonists. Probenecid increases Oxacend concentrations and is not used to enhance therapy.</w:t>
      </w:r>
    </w:p>
    <w:p>
      <w:pPr>
        <w:spacing w:after="160"/>
      </w:pPr>
      <w:r>
        <w:rPr>
          <w:rFonts w:ascii="Calibri" w:hAnsi="Calibri" w:eastAsia="Calibri"/>
          <w:b w:val="0"/>
          <w:i w:val="0"/>
          <w:sz w:val="22"/>
        </w:rPr>
        <w:t>Monitoring: Clinical response during the course. No routine serum levels.</w:t>
      </w:r>
    </w:p>
    <w:p>
      <w:pPr>
        <w:spacing w:after="160"/>
      </w:pPr>
      <w:r>
        <w:rPr>
          <w:rFonts w:ascii="Calibri" w:hAnsi="Calibri" w:eastAsia="Calibri"/>
          <w:b w:val="0"/>
          <w:i w:val="0"/>
          <w:sz w:val="22"/>
        </w:rPr>
        <w:t>Common adverse effects: Diarrhea, nausea, and rash. Seek care for hives, facial swelling, or severe diarrhea.</w:t>
      </w:r>
    </w:p>
    <w:p>
      <w:pPr>
        <w:spacing w:after="160"/>
      </w:pPr>
      <w:r>
        <w:rPr>
          <w:rFonts w:ascii="Calibri" w:hAnsi="Calibri" w:eastAsia="Calibri"/>
          <w:b w:val="0"/>
          <w:i w:val="0"/>
          <w:sz w:val="22"/>
        </w:rPr>
        <w:t>Prescribing notes: Do not combine Oxacend with Pulmavir for the same episode of community-acquired pneumonia. Choose one regimen. Oxacend is included in this digest so that prescribers do not borrow Pulmavir parameters when they intend to use Oxacend.</w:t>
      </w:r>
    </w:p>
    <w:p>
      <w:pPr>
        <w:pStyle w:val="Heading1"/>
      </w:pPr>
      <w:r>
        <w:t>IV. Sleep Agents</w:t>
      </w:r>
    </w:p>
    <w:p>
      <w:r>
        <w:br w:type="page"/>
      </w:r>
    </w:p>
    <w:p>
      <w:pPr>
        <w:pStyle w:val="Heading2"/>
      </w:pPr>
      <w:r>
        <w:t>Somnarel</w:t>
      </w:r>
    </w:p>
    <w:p>
      <w:pPr>
        <w:spacing w:after="160"/>
      </w:pPr>
      <w:r>
        <w:rPr>
          <w:rFonts w:ascii="Calibri" w:hAnsi="Calibri" w:eastAsia="Calibri"/>
          <w:b w:val="0"/>
          <w:i w:val="0"/>
          <w:sz w:val="22"/>
        </w:rPr>
        <w:t>Drug class: Non-benzodiazepine hypnotic.</w:t>
      </w:r>
    </w:p>
    <w:p>
      <w:pPr>
        <w:spacing w:after="160"/>
      </w:pPr>
      <w:r>
        <w:rPr>
          <w:rFonts w:ascii="Calibri" w:hAnsi="Calibri" w:eastAsia="Calibri"/>
          <w:b w:val="0"/>
          <w:i w:val="0"/>
          <w:sz w:val="22"/>
        </w:rPr>
        <w:t>Indication: Short-term treatment of insomnia when sleep hygiene measures have been tried. Not appropriate as a standing medication for chronic insomnia.</w:t>
      </w:r>
    </w:p>
    <w:p>
      <w:pPr>
        <w:spacing w:after="160"/>
      </w:pPr>
      <w:r>
        <w:rPr>
          <w:rFonts w:ascii="Calibri" w:hAnsi="Calibri" w:eastAsia="Calibri"/>
          <w:b w:val="0"/>
          <w:i w:val="0"/>
          <w:sz w:val="22"/>
        </w:rPr>
        <w:t>Standard adult dose: 5 mg orally at bedtime. In adults aged 65 years and older the usual dose remains 5 mg; do not start at a higher dose because of age alone.</w:t>
      </w:r>
    </w:p>
    <w:p>
      <w:pPr>
        <w:spacing w:after="160"/>
      </w:pPr>
      <w:r>
        <w:rPr>
          <w:rFonts w:ascii="Calibri" w:hAnsi="Calibri" w:eastAsia="Calibri"/>
          <w:b w:val="0"/>
          <w:i w:val="0"/>
          <w:sz w:val="22"/>
        </w:rPr>
        <w:t>Maximum dose: 10 mg orally at bedtime. Doses above 10 mg increase next-day impairment without reliable additional benefit.</w:t>
      </w:r>
    </w:p>
    <w:p>
      <w:pPr>
        <w:spacing w:after="160"/>
      </w:pPr>
      <w:r>
        <w:rPr>
          <w:rFonts w:ascii="Calibri" w:hAnsi="Calibri" w:eastAsia="Calibri"/>
          <w:b w:val="0"/>
          <w:i w:val="0"/>
          <w:sz w:val="22"/>
        </w:rPr>
        <w:t>Maximum duration: 14 days, including any taper. Treatment beyond 14 days is not supported and substantially increases the risk of dependence and of complex sleep behaviors.</w:t>
      </w:r>
    </w:p>
    <w:p>
      <w:pPr>
        <w:spacing w:after="160"/>
      </w:pPr>
      <w:r>
        <w:rPr>
          <w:rFonts w:ascii="Calibri" w:hAnsi="Calibri" w:eastAsia="Calibri"/>
          <w:b w:val="0"/>
          <w:i w:val="0"/>
          <w:sz w:val="22"/>
        </w:rPr>
        <w:t>Duration: Prescribe only a short course. Prescribers must not initiate Somnarel with an intended duration beyond 14 days. If insomnia continues, reassess the cause and use a non-hypnotic plan rather than renewing Somnarel to complete a longer course.</w:t>
      </w:r>
    </w:p>
    <w:p>
      <w:pPr>
        <w:spacing w:after="160"/>
      </w:pPr>
      <w:r>
        <w:rPr>
          <w:rFonts w:ascii="Calibri" w:hAnsi="Calibri" w:eastAsia="Calibri"/>
          <w:b w:val="0"/>
          <w:i w:val="0"/>
          <w:sz w:val="22"/>
        </w:rPr>
        <w:t>Contraindications: Known hypersensitivity. History of complex sleep behavior on a similar hypnotic. Severe hepatic impairment.</w:t>
      </w:r>
    </w:p>
    <w:p>
      <w:pPr>
        <w:spacing w:after="160"/>
      </w:pPr>
      <w:r>
        <w:rPr>
          <w:rFonts w:ascii="Calibri" w:hAnsi="Calibri" w:eastAsia="Calibri"/>
          <w:b w:val="0"/>
          <w:i w:val="0"/>
          <w:sz w:val="22"/>
        </w:rPr>
        <w:t>Significant interactions: Alcohol, opioids, and other central nervous system depressants add to sedation and next-day impairment and should not be combined with a new Somnarel prescription without an explicit risk review.</w:t>
      </w:r>
    </w:p>
    <w:p>
      <w:pPr>
        <w:spacing w:after="160"/>
      </w:pPr>
      <w:r>
        <w:rPr>
          <w:rFonts w:ascii="Calibri" w:hAnsi="Calibri" w:eastAsia="Calibri"/>
          <w:b w:val="0"/>
          <w:i w:val="0"/>
          <w:sz w:val="22"/>
        </w:rPr>
        <w:t>Monitoring: Reassess the need before any renewal. Ask about next-day drowsiness, falls, and unusual nighttime behavior.</w:t>
      </w:r>
    </w:p>
    <w:p>
      <w:pPr>
        <w:spacing w:after="160"/>
      </w:pPr>
      <w:r>
        <w:rPr>
          <w:rFonts w:ascii="Calibri" w:hAnsi="Calibri" w:eastAsia="Calibri"/>
          <w:b w:val="0"/>
          <w:i w:val="0"/>
          <w:sz w:val="22"/>
        </w:rPr>
        <w:t>Common adverse effects: Drowsiness, dizziness, headache, and next-morning impairment. Uncommon but serious: sleepwalking and other complex sleep behaviors.</w:t>
      </w:r>
    </w:p>
    <w:p>
      <w:pPr>
        <w:spacing w:after="160"/>
      </w:pPr>
      <w:r>
        <w:rPr>
          <w:rFonts w:ascii="Calibri" w:hAnsi="Calibri" w:eastAsia="Calibri"/>
          <w:b w:val="0"/>
          <w:i w:val="0"/>
          <w:sz w:val="22"/>
        </w:rPr>
        <w:t>Prescribing notes: Somnarel is taken only at bedtime, when the patient can remain in bed for a full night. Patients should not drive until they know whether the dose impairs them the next day. A six-week discharge course exceeds this monograph and must not be written.</w:t>
      </w:r>
    </w:p>
    <w:p>
      <w:pPr>
        <w:pStyle w:val="Heading1"/>
      </w:pPr>
      <w:r>
        <w:t>V. Antigout Agents</w:t>
      </w:r>
    </w:p>
    <w:p>
      <w:r>
        <w:br w:type="page"/>
      </w:r>
    </w:p>
    <w:p>
      <w:pPr>
        <w:pStyle w:val="Heading2"/>
      </w:pPr>
      <w:r>
        <w:t>Colvexin</w:t>
      </w:r>
    </w:p>
    <w:p>
      <w:pPr>
        <w:spacing w:after="160"/>
      </w:pPr>
      <w:r>
        <w:rPr>
          <w:rFonts w:ascii="Calibri" w:hAnsi="Calibri" w:eastAsia="Calibri"/>
          <w:b w:val="0"/>
          <w:i w:val="0"/>
          <w:sz w:val="22"/>
        </w:rPr>
        <w:t>Drug class: Antigout agent.</w:t>
      </w:r>
    </w:p>
    <w:p>
      <w:pPr>
        <w:spacing w:after="160"/>
      </w:pPr>
      <w:r>
        <w:rPr>
          <w:rFonts w:ascii="Calibri" w:hAnsi="Calibri" w:eastAsia="Calibri"/>
          <w:b w:val="0"/>
          <w:i w:val="0"/>
          <w:sz w:val="22"/>
        </w:rPr>
        <w:t>Indication: Acute gout flare, and selected low-dose prophylaxis when a uric-acid-lowering drug is started. This monograph is included because gout regimens are often confused with chronic daily anti-inflammatory therapy.</w:t>
      </w:r>
    </w:p>
    <w:p>
      <w:pPr>
        <w:spacing w:after="160"/>
      </w:pPr>
      <w:r>
        <w:rPr>
          <w:rFonts w:ascii="Calibri" w:hAnsi="Calibri" w:eastAsia="Calibri"/>
          <w:b w:val="0"/>
          <w:i w:val="0"/>
          <w:sz w:val="22"/>
        </w:rPr>
        <w:t>Standard adult dose: For an acute flare, 1.2 mg orally once, followed by 0.6 mg one hour later, then 0.6 mg once daily for no more than 3 days. For prophylaxis when urate-lowering therapy begins, 0.6 mg orally once daily.</w:t>
      </w:r>
    </w:p>
    <w:p>
      <w:pPr>
        <w:spacing w:after="160"/>
      </w:pPr>
      <w:r>
        <w:rPr>
          <w:rFonts w:ascii="Calibri" w:hAnsi="Calibri" w:eastAsia="Calibri"/>
          <w:b w:val="0"/>
          <w:i w:val="0"/>
          <w:sz w:val="22"/>
        </w:rPr>
        <w:t>Maximum dose: 1.2 mg in any 24-hour period during an acute flare. Prophylaxis must not exceed 0.6 mg once daily.</w:t>
      </w:r>
    </w:p>
    <w:p>
      <w:pPr>
        <w:spacing w:after="160"/>
      </w:pPr>
      <w:r>
        <w:rPr>
          <w:rFonts w:ascii="Calibri" w:hAnsi="Calibri" w:eastAsia="Calibri"/>
          <w:b w:val="0"/>
          <w:i w:val="0"/>
          <w:sz w:val="22"/>
        </w:rPr>
        <w:t>Maximum duration: 3 days for treatment of an acute flare. Prophylaxis may continue while urate-lowering therapy is being introduced and is then reassessed; it is not a treatment for heart failure, infection, or insomnia.</w:t>
      </w:r>
    </w:p>
    <w:p>
      <w:pPr>
        <w:spacing w:after="160"/>
      </w:pPr>
      <w:r>
        <w:rPr>
          <w:rFonts w:ascii="Calibri" w:hAnsi="Calibri" w:eastAsia="Calibri"/>
          <w:b w:val="0"/>
          <w:i w:val="0"/>
          <w:sz w:val="22"/>
        </w:rPr>
        <w:t>Duration: Do not prescribe Colvexin indefinitely for an acute flare. Do not use twice-daily dosing as a standing discharge regimen.</w:t>
      </w:r>
    </w:p>
    <w:p>
      <w:pPr>
        <w:spacing w:after="160"/>
      </w:pPr>
      <w:r>
        <w:rPr>
          <w:rFonts w:ascii="Calibri" w:hAnsi="Calibri" w:eastAsia="Calibri"/>
          <w:b w:val="0"/>
          <w:i w:val="0"/>
          <w:sz w:val="22"/>
        </w:rPr>
        <w:t>Contraindications: Severe renal or hepatic impairment together with a strong interacting drug. Blood dyscrasia.</w:t>
      </w:r>
    </w:p>
    <w:p>
      <w:pPr>
        <w:spacing w:after="160"/>
      </w:pPr>
      <w:r>
        <w:rPr>
          <w:rFonts w:ascii="Calibri" w:hAnsi="Calibri" w:eastAsia="Calibri"/>
          <w:b w:val="0"/>
          <w:i w:val="0"/>
          <w:sz w:val="22"/>
        </w:rPr>
        <w:t>Significant interactions: Strong CYP3A4 inhibitors and P-glycoprotein inhibitors raise Colvexin exposure and can cause serious toxicity. The combination requires a reduced dose or an alternative.</w:t>
      </w:r>
    </w:p>
    <w:p>
      <w:pPr>
        <w:spacing w:after="160"/>
      </w:pPr>
      <w:r>
        <w:rPr>
          <w:rFonts w:ascii="Calibri" w:hAnsi="Calibri" w:eastAsia="Calibri"/>
          <w:b w:val="0"/>
          <w:i w:val="0"/>
          <w:sz w:val="22"/>
        </w:rPr>
        <w:t>Monitoring: Ask about diarrhea, muscle weakness, and numbness. Check renal function if the course is extended for prophylaxis.</w:t>
      </w:r>
    </w:p>
    <w:p>
      <w:pPr>
        <w:spacing w:after="160"/>
      </w:pPr>
      <w:r>
        <w:rPr>
          <w:rFonts w:ascii="Calibri" w:hAnsi="Calibri" w:eastAsia="Calibri"/>
          <w:b w:val="0"/>
          <w:i w:val="0"/>
          <w:sz w:val="22"/>
        </w:rPr>
        <w:t>Common adverse effects: Diarrhea, nausea, and abdominal cramping. Serious toxicity includes myopathy and bone marrow suppression.</w:t>
      </w:r>
    </w:p>
    <w:p>
      <w:pPr>
        <w:spacing w:after="160"/>
      </w:pPr>
      <w:r>
        <w:rPr>
          <w:rFonts w:ascii="Calibri" w:hAnsi="Calibri" w:eastAsia="Calibri"/>
          <w:b w:val="0"/>
          <w:i w:val="0"/>
          <w:sz w:val="22"/>
        </w:rPr>
        <w:t>Prescribing notes: Colvexin does not treat heart failure or pneumonia. Parameters in this monograph must not be copied onto unrelated cardiovascular drugs.</w:t>
      </w:r>
    </w:p>
    <w:p>
      <w:r>
        <w:br w:type="page"/>
      </w:r>
    </w:p>
    <w:p>
      <w:pPr>
        <w:pStyle w:val="Heading1"/>
      </w:pPr>
      <w:r>
        <w:t>VI. Quick-Reference Summary</w:t>
      </w:r>
    </w:p>
    <w:p>
      <w:pPr>
        <w:spacing w:after="160"/>
      </w:pPr>
      <w:r>
        <w:rPr>
          <w:rFonts w:ascii="Calibri" w:hAnsi="Calibri" w:eastAsia="Calibri"/>
          <w:b w:val="0"/>
          <w:i w:val="0"/>
          <w:sz w:val="22"/>
        </w:rPr>
        <w:t>Practitioners should read the full monograph before prescribing. This summary is a lookup aid and is not a substitute for the detailed entries.</w:t>
      </w:r>
    </w:p>
    <w:p>
      <w:pPr>
        <w:pStyle w:val="Heading3"/>
      </w:pPr>
      <w:r>
        <w:t>Standard adult doses</w:t>
      </w:r>
    </w:p>
    <w:p>
      <w:pPr>
        <w:spacing w:after="160"/>
      </w:pPr>
      <w:r>
        <w:rPr>
          <w:rFonts w:ascii="Calibri" w:hAnsi="Calibri" w:eastAsia="Calibri"/>
          <w:b w:val="0"/>
          <w:i w:val="0"/>
          <w:sz w:val="22"/>
        </w:rPr>
        <w:t>Renovast 10 mg PO once daily in the morning. Nexoride 20 mg PO once daily in the morning. Glyvanta 500 mg PO twice daily with meals. Thyrelin 50 mcg PO once daily, 30 minutes before breakfast. Pulmavir 500 mg PO once daily for 5 days. Oxacend 875 mg PO twice daily for 5 to 7 days. Somnarel 5 mg PO at bedtime, short-term only. Colvexin 0.6 mg PO once daily after the acute loading doses, for no more than 3 days when treating a flare.</w:t>
      </w:r>
    </w:p>
    <w:p>
      <w:pPr>
        <w:pStyle w:val="Heading3"/>
      </w:pPr>
      <w:r>
        <w:t>Critical prescribing constraints</w:t>
      </w:r>
    </w:p>
    <w:p>
      <w:pPr>
        <w:spacing w:after="80"/>
        <w:ind w:left="360"/>
      </w:pPr>
      <w:r>
        <w:rPr>
          <w:rFonts w:ascii="Calibri" w:hAnsi="Calibri" w:eastAsia="Calibri"/>
          <w:b w:val="0"/>
          <w:i w:val="0"/>
          <w:sz w:val="22"/>
        </w:rPr>
        <w:t>• Nexoride must be administered in the morning, not at bedtime.</w:t>
      </w:r>
    </w:p>
    <w:p>
      <w:pPr>
        <w:spacing w:after="80"/>
        <w:ind w:left="360"/>
      </w:pPr>
      <w:r>
        <w:rPr>
          <w:rFonts w:ascii="Calibri" w:hAnsi="Calibri" w:eastAsia="Calibri"/>
          <w:b w:val="0"/>
          <w:i w:val="0"/>
          <w:sz w:val="22"/>
        </w:rPr>
        <w:t>• Glyvanta must not exceed 1000 mg orally twice daily.</w:t>
      </w:r>
    </w:p>
    <w:p>
      <w:pPr>
        <w:spacing w:after="80"/>
        <w:ind w:left="360"/>
      </w:pPr>
      <w:r>
        <w:rPr>
          <w:rFonts w:ascii="Calibri" w:hAnsi="Calibri" w:eastAsia="Calibri"/>
          <w:b w:val="0"/>
          <w:i w:val="0"/>
          <w:sz w:val="22"/>
        </w:rPr>
        <w:t>• Pulmavir treatment duration must not exceed 7 days.</w:t>
      </w:r>
    </w:p>
    <w:p>
      <w:pPr>
        <w:spacing w:after="80"/>
        <w:ind w:left="360"/>
      </w:pPr>
      <w:r>
        <w:rPr>
          <w:rFonts w:ascii="Calibri" w:hAnsi="Calibri" w:eastAsia="Calibri"/>
          <w:b w:val="0"/>
          <w:i w:val="0"/>
          <w:sz w:val="22"/>
        </w:rPr>
        <w:t>• Somnarel treatment duration must not exceed 14 days, including any taper.</w:t>
      </w:r>
    </w:p>
    <w:p>
      <w:pPr>
        <w:spacing w:after="80"/>
        <w:ind w:left="360"/>
      </w:pPr>
      <w:r>
        <w:rPr>
          <w:rFonts w:ascii="Calibri" w:hAnsi="Calibri" w:eastAsia="Calibri"/>
          <w:b w:val="0"/>
          <w:i w:val="0"/>
          <w:sz w:val="22"/>
        </w:rPr>
        <w:t>• Thyrelin is taken on an empty stomach, 30 minutes before breakfast, and not with calcium or iron.</w:t>
      </w:r>
    </w:p>
    <w:p>
      <w:pPr>
        <w:spacing w:after="80"/>
        <w:ind w:left="360"/>
      </w:pPr>
      <w:r>
        <w:rPr>
          <w:rFonts w:ascii="Calibri" w:hAnsi="Calibri" w:eastAsia="Calibri"/>
          <w:b w:val="0"/>
          <w:i w:val="0"/>
          <w:sz w:val="22"/>
        </w:rPr>
        <w:t>• Oxacend and Pulmavir are not combined for the same episode of pneumonia.</w:t>
      </w:r>
    </w:p>
    <w:p>
      <w:pPr>
        <w:pStyle w:val="Heading3"/>
      </w:pPr>
      <w:r>
        <w:t>Drugs not in this digest</w:t>
      </w:r>
    </w:p>
    <w:p>
      <w:pPr>
        <w:spacing w:after="160"/>
      </w:pPr>
      <w:r>
        <w:rPr>
          <w:rFonts w:ascii="Calibri" w:hAnsi="Calibri" w:eastAsia="Calibri"/>
          <w:b w:val="0"/>
          <w:i w:val="0"/>
          <w:sz w:val="22"/>
        </w:rPr>
        <w:t>This digest contains institutional monographs for the eight medications above. Other medications may be on formulary at Northhaven Community Hospital but are not addressed here. Prescribers who need guidance on a medication that is not listed, including Brantixol, must contact the inpatient pharmacy. Do not infer prescribing parameters for an unlisted medication from the entries above.</w:t>
      </w:r>
    </w:p>
    <w:p>
      <w:pPr>
        <w:pStyle w:val="Heading1"/>
      </w:pPr>
      <w:r>
        <w:t>VII. Document Control</w:t>
      </w:r>
    </w:p>
    <w:p>
      <w:pPr>
        <w:spacing w:after="160"/>
      </w:pPr>
      <w:r>
        <w:rPr>
          <w:rFonts w:ascii="Calibri" w:hAnsi="Calibri" w:eastAsia="Calibri"/>
          <w:b w:val="0"/>
          <w:i w:val="0"/>
          <w:sz w:val="22"/>
        </w:rPr>
        <w:t>Document owner: Pharmacy &amp; Therapeutics Committee, Northhaven Community Hospital.</w:t>
      </w:r>
    </w:p>
    <w:p>
      <w:pPr>
        <w:spacing w:after="160"/>
      </w:pPr>
      <w:r>
        <w:rPr>
          <w:rFonts w:ascii="Calibri" w:hAnsi="Calibri" w:eastAsia="Calibri"/>
          <w:b w:val="0"/>
          <w:i w:val="0"/>
          <w:sz w:val="22"/>
        </w:rPr>
        <w:t>Revision: 4.1 (March 18, 2026).</w:t>
      </w:r>
    </w:p>
    <w:p>
      <w:pPr>
        <w:spacing w:after="160"/>
      </w:pPr>
      <w:r>
        <w:rPr>
          <w:rFonts w:ascii="Calibri" w:hAnsi="Calibri" w:eastAsia="Calibri"/>
          <w:b w:val="0"/>
          <w:i w:val="0"/>
          <w:sz w:val="22"/>
        </w:rPr>
        <w:t>Next scheduled review: June 18, 2026.</w:t>
      </w:r>
    </w:p>
    <w:p>
      <w:pPr>
        <w:spacing w:after="160"/>
      </w:pPr>
      <w:r>
        <w:rPr>
          <w:rFonts w:ascii="Calibri" w:hAnsi="Calibri" w:eastAsia="Calibri"/>
          <w:b w:val="0"/>
          <w:i w:val="0"/>
          <w:sz w:val="22"/>
        </w:rPr>
        <w:t>Distribution: Credentialed inpatient prescribers and inpatient pharmacy staff.</w:t>
      </w:r>
    </w:p>
    <w:p>
      <w:pPr>
        <w:spacing w:after="160"/>
      </w:pPr>
      <w:r>
        <w:rPr>
          <w:rFonts w:ascii="Calibri" w:hAnsi="Calibri" w:eastAsia="Calibri"/>
          <w:b w:val="0"/>
          <w:i w:val="0"/>
          <w:sz w:val="22"/>
        </w:rPr>
        <w:t>Reminder: This is a fictional document created for software-testing purposes. It does not represent real pharmacological guidance and must not be used for any clinical purpose.</w:t>
      </w:r>
    </w:p>
    <w:sectPr w:rsidR="00FC693F" w:rsidRPr="0006063C" w:rsidSect="00034616">
      <w:footerReference w:type="default" r:id="rId9"/>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color w:val="666666"/>
        <w:sz w:val="16"/>
      </w:rPr>
      <w:t>Fictional document — for software testing only. Not for clinical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