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2F733C">
      <w:pPr>
        <w:keepNext w:val="0"/>
        <w:keepLines w:val="0"/>
        <w:pageBreakBefore w:val="0"/>
        <w:widowControl/>
        <w:kinsoku/>
        <w:wordWrap/>
        <w:overflowPunct/>
        <w:topLinePunct w:val="0"/>
        <w:autoSpaceDE/>
        <w:autoSpaceDN/>
        <w:bidi w:val="0"/>
        <w:adjustRightInd/>
        <w:snapToGrid w:val="0"/>
        <w:spacing w:before="400" w:after="400" w:line="240" w:lineRule="auto"/>
        <w:jc w:val="center"/>
        <w:textAlignment w:val="auto"/>
        <w:rPr>
          <w:rFonts w:hint="default" w:ascii="Consolas" w:hAnsi="Consolas" w:eastAsia="宋体" w:cs="Consolas"/>
          <w:color w:val="auto"/>
        </w:rPr>
      </w:pPr>
      <w:r>
        <w:rPr>
          <w:rFonts w:hint="default" w:ascii="Consolas" w:hAnsi="Consolas" w:eastAsia="宋体" w:cs="Consolas"/>
          <w:b/>
          <w:color w:val="auto"/>
          <w:sz w:val="44"/>
        </w:rPr>
        <w:t>雷电</w:t>
      </w:r>
      <w:r>
        <w:rPr>
          <w:rFonts w:hint="default" w:ascii="Consolas" w:hAnsi="Consolas" w:cs="Consolas"/>
          <w:b/>
          <w:color w:val="auto"/>
          <w:sz w:val="44"/>
          <w:lang w:val="en-US" w:eastAsia="zh-CN"/>
        </w:rPr>
        <w:t>系统</w:t>
      </w:r>
      <w:r>
        <w:rPr>
          <w:rFonts w:hint="default" w:ascii="Consolas" w:hAnsi="Consolas" w:eastAsia="宋体" w:cs="Consolas"/>
          <w:b/>
          <w:color w:val="auto"/>
          <w:sz w:val="44"/>
        </w:rPr>
        <w:t>数据模型设计说明</w:t>
      </w:r>
    </w:p>
    <w:p w14:paraId="0386713E">
      <w:pPr>
        <w:pStyle w:val="3"/>
        <w:keepNext/>
        <w:keepLines/>
        <w:pageBreakBefore w:val="0"/>
        <w:widowControl/>
        <w:numPr>
          <w:ilvl w:val="0"/>
          <w:numId w:val="7"/>
        </w:numPr>
        <w:kinsoku/>
        <w:wordWrap/>
        <w:overflowPunct/>
        <w:topLinePunct w:val="0"/>
        <w:autoSpaceDE/>
        <w:autoSpaceDN/>
        <w:bidi w:val="0"/>
        <w:adjustRightInd/>
        <w:snapToGrid w:val="0"/>
        <w:spacing w:before="240" w:after="240" w:line="240" w:lineRule="auto"/>
        <w:textAlignment w:val="auto"/>
        <w:rPr>
          <w:rFonts w:hint="default" w:ascii="Consolas" w:hAnsi="Consolas" w:eastAsia="宋体" w:cs="Consolas"/>
          <w:color w:val="auto"/>
        </w:rPr>
      </w:pPr>
      <w:r>
        <w:rPr>
          <w:rFonts w:hint="default" w:ascii="Consolas" w:hAnsi="Consolas" w:eastAsia="宋体" w:cs="Consolas"/>
          <w:color w:val="auto"/>
        </w:rPr>
        <w:t>文档目标与范围</w:t>
      </w:r>
    </w:p>
    <w:p w14:paraId="69243192">
      <w:pPr>
        <w:keepNext w:val="0"/>
        <w:keepLines w:val="0"/>
        <w:pageBreakBefore w:val="0"/>
        <w:widowControl/>
        <w:kinsoku/>
        <w:wordWrap/>
        <w:overflowPunct/>
        <w:topLinePunct w:val="0"/>
        <w:autoSpaceDE/>
        <w:autoSpaceDN/>
        <w:bidi w:val="0"/>
        <w:adjustRightInd/>
        <w:snapToGrid w:val="0"/>
        <w:spacing w:after="0" w:line="360" w:lineRule="auto"/>
        <w:ind w:firstLine="420" w:firstLineChars="200"/>
        <w:textAlignment w:val="auto"/>
        <w:rPr>
          <w:rFonts w:hint="default" w:ascii="Consolas" w:hAnsi="Consolas" w:eastAsia="宋体" w:cs="Consolas"/>
          <w:color w:val="auto"/>
        </w:rPr>
      </w:pPr>
      <w:r>
        <w:rPr>
          <w:rFonts w:hint="default" w:ascii="Consolas" w:hAnsi="Consolas" w:eastAsia="宋体" w:cs="Consolas"/>
          <w:color w:val="auto"/>
        </w:rPr>
        <w:t>本文档用于固化雷电监测平台 M1 阶段数据模型设计，说明平台围绕雷电监测、大气电场、雷暴过程、预警联动、原始报文和低频设备数据建立的主题域、实体关系、指标口径、时间空间建模方式及分区索引策略。</w:t>
      </w:r>
    </w:p>
    <w:p w14:paraId="435423FB">
      <w:pPr>
        <w:keepNext w:val="0"/>
        <w:keepLines w:val="0"/>
        <w:pageBreakBefore w:val="0"/>
        <w:widowControl/>
        <w:kinsoku/>
        <w:wordWrap/>
        <w:overflowPunct/>
        <w:topLinePunct w:val="0"/>
        <w:autoSpaceDE/>
        <w:autoSpaceDN/>
        <w:bidi w:val="0"/>
        <w:adjustRightInd/>
        <w:snapToGrid w:val="0"/>
        <w:spacing w:after="0" w:line="360" w:lineRule="auto"/>
        <w:ind w:firstLine="420" w:firstLineChars="200"/>
        <w:textAlignment w:val="auto"/>
        <w:rPr>
          <w:rFonts w:hint="default" w:ascii="Consolas" w:hAnsi="Consolas" w:eastAsia="宋体" w:cs="Consolas"/>
          <w:color w:val="auto"/>
        </w:rPr>
      </w:pPr>
      <w:r>
        <w:rPr>
          <w:rFonts w:hint="default" w:ascii="Consolas" w:hAnsi="Consolas" w:eastAsia="宋体" w:cs="Consolas"/>
          <w:color w:val="auto"/>
        </w:rPr>
        <w:t>文档同时结合S0-S4 阶段性能测试结果，对当前模型设计的合理性进行说明。测试结果表明，在当前单机硬件条件和测试数据规模下，核心写入、分页查询、雷暴过程曲线查询和 50km 雷击统计查询均具备可接受性能。</w:t>
      </w:r>
    </w:p>
    <w:p w14:paraId="07CFC3C2">
      <w:pPr>
        <w:pStyle w:val="3"/>
        <w:keepNext/>
        <w:keepLines/>
        <w:pageBreakBefore w:val="0"/>
        <w:widowControl/>
        <w:numPr>
          <w:ilvl w:val="0"/>
          <w:numId w:val="7"/>
        </w:numPr>
        <w:kinsoku/>
        <w:wordWrap/>
        <w:overflowPunct/>
        <w:topLinePunct w:val="0"/>
        <w:autoSpaceDE/>
        <w:autoSpaceDN/>
        <w:bidi w:val="0"/>
        <w:adjustRightInd/>
        <w:snapToGrid w:val="0"/>
        <w:spacing w:before="240" w:after="240" w:line="240" w:lineRule="auto"/>
        <w:textAlignment w:val="auto"/>
        <w:rPr>
          <w:rFonts w:hint="default" w:ascii="Consolas" w:hAnsi="Consolas" w:eastAsia="宋体" w:cs="Consolas"/>
          <w:color w:val="auto"/>
        </w:rPr>
      </w:pPr>
      <w:r>
        <w:rPr>
          <w:rFonts w:hint="default" w:ascii="Consolas" w:hAnsi="Consolas" w:eastAsia="宋体" w:cs="Consolas"/>
          <w:color w:val="auto"/>
        </w:rPr>
        <w:t>总体建模原则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257"/>
      </w:tblGrid>
      <w:tr w14:paraId="22D6D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BEBEBE" w:themeFill="background1" w:themeFillShade="BF"/>
            <w:vAlign w:val="center"/>
          </w:tcPr>
          <w:p w14:paraId="3083ACE5">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color w:val="auto"/>
                <w:sz w:val="20"/>
              </w:rPr>
              <w:t>原则</w:t>
            </w:r>
          </w:p>
        </w:tc>
        <w:tc>
          <w:tcPr>
            <w:tcW w:w="7257" w:type="dxa"/>
            <w:shd w:val="clear" w:color="auto" w:fill="BEBEBE" w:themeFill="background1" w:themeFillShade="BF"/>
            <w:vAlign w:val="center"/>
          </w:tcPr>
          <w:p w14:paraId="1E5C54B5">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color w:val="auto"/>
                <w:sz w:val="20"/>
              </w:rPr>
              <w:t>设计说明</w:t>
            </w:r>
          </w:p>
        </w:tc>
      </w:tr>
      <w:tr w14:paraId="09604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E8E1A08">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按业务主题域建模</w:t>
            </w:r>
          </w:p>
        </w:tc>
        <w:tc>
          <w:tcPr>
            <w:tcW w:w="7257" w:type="dxa"/>
            <w:vAlign w:val="center"/>
          </w:tcPr>
          <w:p w14:paraId="143FA11B">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围绕矿区、设备、原始接入、标准数据、业务事件、雷暴过程和联动处置划分主题域，避免数据职责混杂。</w:t>
            </w:r>
          </w:p>
        </w:tc>
      </w:tr>
      <w:tr w14:paraId="423B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945CD24">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时间优先</w:t>
            </w:r>
          </w:p>
        </w:tc>
        <w:tc>
          <w:tcPr>
            <w:tcW w:w="7257" w:type="dxa"/>
            <w:vAlign w:val="center"/>
          </w:tcPr>
          <w:p w14:paraId="37972A2E">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高频时序数据以设备上传时间作为分区、过滤和过程窗口分析的核心时间口径。</w:t>
            </w:r>
          </w:p>
        </w:tc>
      </w:tr>
      <w:tr w14:paraId="4546A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A78C8DE">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空间统一</w:t>
            </w:r>
          </w:p>
        </w:tc>
        <w:tc>
          <w:tcPr>
            <w:tcW w:w="7257" w:type="dxa"/>
            <w:vAlign w:val="center"/>
          </w:tcPr>
          <w:p w14:paraId="46336AD0">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雷击类数据统一生成空间点对象，空间统计统一基于雷击点与矿区调度室坐标计算。</w:t>
            </w:r>
          </w:p>
        </w:tc>
      </w:tr>
      <w:tr w14:paraId="72BF8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2ED2DFF">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原始可追溯</w:t>
            </w:r>
          </w:p>
        </w:tc>
        <w:tc>
          <w:tcPr>
            <w:tcW w:w="7257" w:type="dxa"/>
            <w:vAlign w:val="center"/>
          </w:tcPr>
          <w:p w14:paraId="52DBEE73">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原始报文保留 topic、partition、offset 等去重与追溯能力，支撑接入质量核验。</w:t>
            </w:r>
          </w:p>
        </w:tc>
      </w:tr>
      <w:tr w14:paraId="0ED67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9BD6F9C">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标准与业务分层</w:t>
            </w:r>
          </w:p>
        </w:tc>
        <w:tc>
          <w:tcPr>
            <w:tcW w:w="7257" w:type="dxa"/>
            <w:vAlign w:val="center"/>
          </w:tcPr>
          <w:p w14:paraId="4A8BD35A">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标准数据用于接入后规范化存储，业务事件用于业务查询、展示和统计分析，二者保持可追溯关系。</w:t>
            </w:r>
          </w:p>
        </w:tc>
      </w:tr>
      <w:tr w14:paraId="7E14E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3CDE640">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过程闭环</w:t>
            </w:r>
          </w:p>
        </w:tc>
        <w:tc>
          <w:tcPr>
            <w:tcW w:w="7257" w:type="dxa"/>
            <w:vAlign w:val="center"/>
          </w:tcPr>
          <w:p w14:paraId="3492E90C">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雷暴过程作为预警、通知、巡检、隐患和维修等业务闭环的关联主线。</w:t>
            </w:r>
          </w:p>
        </w:tc>
      </w:tr>
    </w:tbl>
    <w:p w14:paraId="3F35FDD6">
      <w:pPr>
        <w:pStyle w:val="3"/>
        <w:keepNext/>
        <w:keepLines/>
        <w:pageBreakBefore w:val="0"/>
        <w:widowControl/>
        <w:numPr>
          <w:ilvl w:val="0"/>
          <w:numId w:val="7"/>
        </w:numPr>
        <w:kinsoku/>
        <w:wordWrap/>
        <w:overflowPunct/>
        <w:topLinePunct w:val="0"/>
        <w:autoSpaceDE/>
        <w:autoSpaceDN/>
        <w:bidi w:val="0"/>
        <w:adjustRightInd/>
        <w:snapToGrid w:val="0"/>
        <w:spacing w:before="240" w:after="240" w:line="240" w:lineRule="auto"/>
        <w:textAlignment w:val="auto"/>
        <w:rPr>
          <w:rFonts w:hint="default" w:ascii="Consolas" w:hAnsi="Consolas" w:eastAsia="宋体" w:cs="Consolas"/>
          <w:color w:val="auto"/>
        </w:rPr>
      </w:pPr>
      <w:r>
        <w:rPr>
          <w:rFonts w:hint="default" w:ascii="Consolas" w:hAnsi="Consolas" w:eastAsia="宋体" w:cs="Consolas"/>
          <w:color w:val="auto"/>
        </w:rPr>
        <w:t>主题域划分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2835"/>
        <w:gridCol w:w="4762"/>
      </w:tblGrid>
      <w:tr w14:paraId="3D484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BEBEBE" w:themeFill="background1" w:themeFillShade="BF"/>
            <w:vAlign w:val="center"/>
          </w:tcPr>
          <w:p w14:paraId="71E5B9A8">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主题域</w:t>
            </w:r>
          </w:p>
        </w:tc>
        <w:tc>
          <w:tcPr>
            <w:tcW w:w="2835" w:type="dxa"/>
            <w:shd w:val="clear" w:color="auto" w:fill="BEBEBE" w:themeFill="background1" w:themeFillShade="BF"/>
            <w:vAlign w:val="center"/>
          </w:tcPr>
          <w:p w14:paraId="04CCF4A7">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核心对象</w:t>
            </w:r>
          </w:p>
        </w:tc>
        <w:tc>
          <w:tcPr>
            <w:tcW w:w="4762" w:type="dxa"/>
            <w:shd w:val="clear" w:color="auto" w:fill="BEBEBE" w:themeFill="background1" w:themeFillShade="BF"/>
            <w:vAlign w:val="center"/>
          </w:tcPr>
          <w:p w14:paraId="2CFCAC54">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说明</w:t>
            </w:r>
          </w:p>
        </w:tc>
      </w:tr>
      <w:tr w14:paraId="031BB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14A20C34">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基础资源域</w:t>
            </w:r>
          </w:p>
        </w:tc>
        <w:tc>
          <w:tcPr>
            <w:tcW w:w="2835" w:type="dxa"/>
            <w:vAlign w:val="center"/>
          </w:tcPr>
          <w:p w14:paraId="6B691147">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矿区、调度室坐标、设备基础信息</w:t>
            </w:r>
          </w:p>
        </w:tc>
        <w:tc>
          <w:tcPr>
            <w:tcW w:w="4762" w:type="dxa"/>
            <w:vAlign w:val="center"/>
          </w:tcPr>
          <w:p w14:paraId="6F2432BC">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提供业务归属、设备识别和空间分析基准。</w:t>
            </w:r>
          </w:p>
        </w:tc>
      </w:tr>
      <w:tr w14:paraId="62A38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2AE34FB0">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原始接入域</w:t>
            </w:r>
          </w:p>
        </w:tc>
        <w:tc>
          <w:tcPr>
            <w:tcW w:w="2835" w:type="dxa"/>
            <w:vAlign w:val="center"/>
          </w:tcPr>
          <w:p w14:paraId="7240350A">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原始 Kafka/报文数据、接入日志、去重标识</w:t>
            </w:r>
          </w:p>
        </w:tc>
        <w:tc>
          <w:tcPr>
            <w:tcW w:w="4762" w:type="dxa"/>
            <w:vAlign w:val="center"/>
          </w:tcPr>
          <w:p w14:paraId="6BDECD9F">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保留接入原貌和追溯依据，支持重复报文过滤和接入质量分析。</w:t>
            </w:r>
          </w:p>
        </w:tc>
      </w:tr>
      <w:tr w14:paraId="5AA68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6386A13E">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标准数据域</w:t>
            </w:r>
          </w:p>
        </w:tc>
        <w:tc>
          <w:tcPr>
            <w:tcW w:w="2835" w:type="dxa"/>
            <w:vAlign w:val="center"/>
          </w:tcPr>
          <w:p w14:paraId="27380B00">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大气电场、雷击大网、小网及低频设备标准数据</w:t>
            </w:r>
          </w:p>
        </w:tc>
        <w:tc>
          <w:tcPr>
            <w:tcW w:w="4762" w:type="dxa"/>
            <w:vAlign w:val="center"/>
          </w:tcPr>
          <w:p w14:paraId="591D3E30">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承接清洗、标准化后的设备与雷电监测数据。</w:t>
            </w:r>
          </w:p>
        </w:tc>
      </w:tr>
      <w:tr w14:paraId="2807A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3F28ED52">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业务事件域</w:t>
            </w:r>
          </w:p>
        </w:tc>
        <w:tc>
          <w:tcPr>
            <w:tcW w:w="2835" w:type="dxa"/>
            <w:vAlign w:val="center"/>
          </w:tcPr>
          <w:p w14:paraId="681ACF85">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大气电场业务事件、雷击业务事件、设备告警事件</w:t>
            </w:r>
          </w:p>
        </w:tc>
        <w:tc>
          <w:tcPr>
            <w:tcW w:w="4762" w:type="dxa"/>
            <w:vAlign w:val="center"/>
          </w:tcPr>
          <w:p w14:paraId="7FE71995">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面向业务查询、页面展示和统计分析。</w:t>
            </w:r>
          </w:p>
        </w:tc>
      </w:tr>
      <w:tr w14:paraId="7D981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61CB5ACD">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雷暴过程域</w:t>
            </w:r>
          </w:p>
        </w:tc>
        <w:tc>
          <w:tcPr>
            <w:tcW w:w="2835" w:type="dxa"/>
            <w:vAlign w:val="center"/>
          </w:tcPr>
          <w:p w14:paraId="59C7D853">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雷暴过程、过程窗口、预警信息</w:t>
            </w:r>
          </w:p>
        </w:tc>
        <w:tc>
          <w:tcPr>
            <w:tcW w:w="4762" w:type="dxa"/>
            <w:vAlign w:val="center"/>
          </w:tcPr>
          <w:p w14:paraId="5D373A4A">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以矿区和时间窗口组织雷暴过程，不维护动态中心点。</w:t>
            </w:r>
          </w:p>
        </w:tc>
      </w:tr>
      <w:tr w14:paraId="0EDF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52380152">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联动处置域</w:t>
            </w:r>
          </w:p>
        </w:tc>
        <w:tc>
          <w:tcPr>
            <w:tcW w:w="2835" w:type="dxa"/>
            <w:vAlign w:val="center"/>
          </w:tcPr>
          <w:p w14:paraId="53D18390">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通知、巡检、隐患、维修等处置数据</w:t>
            </w:r>
          </w:p>
        </w:tc>
        <w:tc>
          <w:tcPr>
            <w:tcW w:w="4762" w:type="dxa"/>
            <w:vAlign w:val="center"/>
          </w:tcPr>
          <w:p w14:paraId="2A86F179">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围绕雷暴过程形成闭环记录。</w:t>
            </w:r>
          </w:p>
        </w:tc>
      </w:tr>
      <w:tr w14:paraId="1A9B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5E991575">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统计分析域</w:t>
            </w:r>
          </w:p>
        </w:tc>
        <w:tc>
          <w:tcPr>
            <w:tcW w:w="2835" w:type="dxa"/>
            <w:vAlign w:val="center"/>
          </w:tcPr>
          <w:p w14:paraId="212D9F26">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分页查询、过程曲线、50km 雷击统计和分布统计</w:t>
            </w:r>
          </w:p>
        </w:tc>
        <w:tc>
          <w:tcPr>
            <w:tcW w:w="4762" w:type="dxa"/>
            <w:vAlign w:val="center"/>
          </w:tcPr>
          <w:p w14:paraId="680D8F67">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支撑平台核心查询场景和性能验证场景。</w:t>
            </w:r>
          </w:p>
        </w:tc>
      </w:tr>
    </w:tbl>
    <w:p w14:paraId="4CEE9231">
      <w:pPr>
        <w:pStyle w:val="3"/>
        <w:keepNext/>
        <w:keepLines/>
        <w:pageBreakBefore w:val="0"/>
        <w:widowControl/>
        <w:numPr>
          <w:ilvl w:val="0"/>
          <w:numId w:val="7"/>
        </w:numPr>
        <w:kinsoku/>
        <w:wordWrap/>
        <w:overflowPunct/>
        <w:topLinePunct w:val="0"/>
        <w:autoSpaceDE/>
        <w:autoSpaceDN/>
        <w:bidi w:val="0"/>
        <w:adjustRightInd/>
        <w:snapToGrid w:val="0"/>
        <w:spacing w:before="240" w:after="240" w:line="240" w:lineRule="auto"/>
        <w:textAlignment w:val="auto"/>
        <w:rPr>
          <w:rFonts w:hint="default" w:ascii="Consolas" w:hAnsi="Consolas" w:eastAsia="宋体" w:cs="Consolas"/>
          <w:color w:val="auto"/>
        </w:rPr>
      </w:pPr>
      <w:r>
        <w:rPr>
          <w:rFonts w:hint="default" w:ascii="Consolas" w:hAnsi="Consolas" w:eastAsia="宋体" w:cs="Consolas"/>
          <w:color w:val="auto"/>
        </w:rPr>
        <w:t>核心实体关系</w:t>
      </w:r>
    </w:p>
    <w:p w14:paraId="6E6221EE">
      <w:pPr>
        <w:pStyle w:val="16"/>
        <w:keepNext w:val="0"/>
        <w:keepLines w:val="0"/>
        <w:pageBreakBefore w:val="0"/>
        <w:widowControl/>
        <w:numPr>
          <w:ilvl w:val="0"/>
          <w:numId w:val="8"/>
        </w:numPr>
        <w:kinsoku/>
        <w:wordWrap/>
        <w:overflowPunct/>
        <w:topLinePunct w:val="0"/>
        <w:autoSpaceDE/>
        <w:autoSpaceDN/>
        <w:bidi w:val="0"/>
        <w:adjustRightInd/>
        <w:snapToGrid w:val="0"/>
        <w:spacing w:after="0" w:line="360" w:lineRule="auto"/>
        <w:ind w:left="0" w:leftChars="0" w:firstLine="0" w:firstLineChars="0"/>
        <w:textAlignment w:val="auto"/>
        <w:rPr>
          <w:rFonts w:hint="default" w:ascii="Consolas" w:hAnsi="Consolas" w:eastAsia="宋体" w:cs="Consolas"/>
          <w:color w:val="auto"/>
        </w:rPr>
      </w:pPr>
      <w:r>
        <w:rPr>
          <w:rFonts w:hint="default" w:ascii="Consolas" w:hAnsi="Consolas" w:eastAsia="宋体" w:cs="Consolas"/>
          <w:color w:val="auto"/>
        </w:rPr>
        <w:t>矿区是业务和空间分析的基础对象，设备、雷暴过程、预警与处置记录均可归属到矿区。</w:t>
      </w:r>
    </w:p>
    <w:p w14:paraId="60262A7E">
      <w:pPr>
        <w:pStyle w:val="16"/>
        <w:keepNext w:val="0"/>
        <w:keepLines w:val="0"/>
        <w:pageBreakBefore w:val="0"/>
        <w:widowControl/>
        <w:numPr>
          <w:ilvl w:val="0"/>
          <w:numId w:val="8"/>
        </w:numPr>
        <w:kinsoku/>
        <w:wordWrap/>
        <w:overflowPunct/>
        <w:topLinePunct w:val="0"/>
        <w:autoSpaceDE/>
        <w:autoSpaceDN/>
        <w:bidi w:val="0"/>
        <w:adjustRightInd/>
        <w:snapToGrid w:val="0"/>
        <w:spacing w:after="0" w:line="360" w:lineRule="auto"/>
        <w:ind w:left="0" w:leftChars="0" w:firstLine="0" w:firstLineChars="0"/>
        <w:textAlignment w:val="auto"/>
        <w:rPr>
          <w:rFonts w:hint="default" w:ascii="Consolas" w:hAnsi="Consolas" w:eastAsia="宋体" w:cs="Consolas"/>
          <w:color w:val="auto"/>
        </w:rPr>
      </w:pPr>
      <w:r>
        <w:rPr>
          <w:rFonts w:hint="default" w:ascii="Consolas" w:hAnsi="Consolas" w:eastAsia="宋体" w:cs="Consolas"/>
          <w:color w:val="auto"/>
        </w:rPr>
        <w:t>雷暴过程以矿区和过程时间窗口为主线，关联预警信息、通知事件、巡检任务、隐患记录和维修工单。</w:t>
      </w:r>
    </w:p>
    <w:p w14:paraId="00E2BA56">
      <w:pPr>
        <w:pStyle w:val="16"/>
        <w:keepNext w:val="0"/>
        <w:keepLines w:val="0"/>
        <w:pageBreakBefore w:val="0"/>
        <w:widowControl/>
        <w:numPr>
          <w:ilvl w:val="0"/>
          <w:numId w:val="8"/>
        </w:numPr>
        <w:kinsoku/>
        <w:wordWrap/>
        <w:overflowPunct/>
        <w:topLinePunct w:val="0"/>
        <w:autoSpaceDE/>
        <w:autoSpaceDN/>
        <w:bidi w:val="0"/>
        <w:adjustRightInd/>
        <w:snapToGrid w:val="0"/>
        <w:spacing w:after="0" w:line="360" w:lineRule="auto"/>
        <w:ind w:left="0" w:leftChars="0" w:firstLine="0" w:firstLineChars="0"/>
        <w:textAlignment w:val="auto"/>
        <w:rPr>
          <w:rFonts w:hint="default" w:ascii="Consolas" w:hAnsi="Consolas" w:eastAsia="宋体" w:cs="Consolas"/>
          <w:color w:val="auto"/>
        </w:rPr>
      </w:pPr>
      <w:r>
        <w:rPr>
          <w:rFonts w:hint="default" w:ascii="Consolas" w:hAnsi="Consolas" w:eastAsia="宋体" w:cs="Consolas"/>
          <w:color w:val="auto"/>
        </w:rPr>
        <w:t>大气电场标准数据与业务事件数据按设备和上传时间形成追溯关系，用于分页查询和雷暴过程窗口曲线查询。</w:t>
      </w:r>
    </w:p>
    <w:p w14:paraId="6991355E">
      <w:pPr>
        <w:pStyle w:val="16"/>
        <w:keepNext w:val="0"/>
        <w:keepLines w:val="0"/>
        <w:pageBreakBefore w:val="0"/>
        <w:widowControl/>
        <w:numPr>
          <w:ilvl w:val="0"/>
          <w:numId w:val="8"/>
        </w:numPr>
        <w:kinsoku/>
        <w:wordWrap/>
        <w:overflowPunct/>
        <w:topLinePunct w:val="0"/>
        <w:autoSpaceDE/>
        <w:autoSpaceDN/>
        <w:bidi w:val="0"/>
        <w:adjustRightInd/>
        <w:snapToGrid w:val="0"/>
        <w:spacing w:after="0" w:line="360" w:lineRule="auto"/>
        <w:ind w:left="0" w:leftChars="0" w:firstLine="0" w:firstLineChars="0"/>
        <w:textAlignment w:val="auto"/>
        <w:rPr>
          <w:rFonts w:hint="default" w:ascii="Consolas" w:hAnsi="Consolas" w:eastAsia="宋体" w:cs="Consolas"/>
          <w:color w:val="auto"/>
        </w:rPr>
      </w:pPr>
      <w:r>
        <w:rPr>
          <w:rFonts w:hint="default" w:ascii="Consolas" w:hAnsi="Consolas" w:eastAsia="宋体" w:cs="Consolas"/>
          <w:color w:val="auto"/>
        </w:rPr>
        <w:t>雷击大网、小网数据入库后统一沉淀为雷击业务事件，业务统计优先基于统一后的业务事件表。</w:t>
      </w:r>
    </w:p>
    <w:p w14:paraId="0C9B07A1">
      <w:pPr>
        <w:pStyle w:val="16"/>
        <w:keepNext w:val="0"/>
        <w:keepLines w:val="0"/>
        <w:pageBreakBefore w:val="0"/>
        <w:widowControl/>
        <w:numPr>
          <w:ilvl w:val="0"/>
          <w:numId w:val="8"/>
        </w:numPr>
        <w:kinsoku/>
        <w:wordWrap/>
        <w:overflowPunct/>
        <w:topLinePunct w:val="0"/>
        <w:autoSpaceDE/>
        <w:autoSpaceDN/>
        <w:bidi w:val="0"/>
        <w:adjustRightInd/>
        <w:snapToGrid w:val="0"/>
        <w:spacing w:after="0" w:line="360" w:lineRule="auto"/>
        <w:ind w:left="0" w:leftChars="0" w:firstLine="0" w:firstLineChars="0"/>
        <w:textAlignment w:val="auto"/>
        <w:rPr>
          <w:rFonts w:hint="default" w:ascii="Consolas" w:hAnsi="Consolas" w:eastAsia="宋体" w:cs="Consolas"/>
          <w:color w:val="auto"/>
        </w:rPr>
      </w:pPr>
      <w:r>
        <w:rPr>
          <w:rFonts w:hint="default" w:ascii="Consolas" w:hAnsi="Consolas" w:eastAsia="宋体" w:cs="Consolas"/>
          <w:color w:val="auto"/>
        </w:rPr>
        <w:t>原始报文与标准数据之间保持追溯链路，原始报文通过 topic、partition、offset 保留唯一去重能力。</w:t>
      </w:r>
    </w:p>
    <w:p w14:paraId="6602EB04">
      <w:pPr>
        <w:pStyle w:val="16"/>
        <w:keepNext w:val="0"/>
        <w:keepLines w:val="0"/>
        <w:pageBreakBefore w:val="0"/>
        <w:widowControl/>
        <w:numPr>
          <w:ilvl w:val="0"/>
          <w:numId w:val="8"/>
        </w:numPr>
        <w:kinsoku/>
        <w:wordWrap/>
        <w:overflowPunct/>
        <w:topLinePunct w:val="0"/>
        <w:autoSpaceDE/>
        <w:autoSpaceDN/>
        <w:bidi w:val="0"/>
        <w:adjustRightInd/>
        <w:snapToGrid w:val="0"/>
        <w:spacing w:after="0" w:line="360" w:lineRule="auto"/>
        <w:ind w:left="0" w:leftChars="0" w:firstLine="0" w:firstLineChars="0"/>
        <w:textAlignment w:val="auto"/>
        <w:rPr>
          <w:rFonts w:hint="default" w:ascii="Consolas" w:hAnsi="Consolas" w:eastAsia="宋体" w:cs="Consolas"/>
          <w:color w:val="auto"/>
        </w:rPr>
      </w:pPr>
      <w:r>
        <w:rPr>
          <w:rFonts w:hint="default" w:ascii="Consolas" w:hAnsi="Consolas" w:eastAsia="宋体" w:cs="Consolas"/>
          <w:color w:val="auto"/>
        </w:rPr>
        <w:t>低频设备数据按设备类型分别进入标准层和业务事件层，作为设备状态、告警和运维分析的补充数据。</w:t>
      </w:r>
    </w:p>
    <w:p w14:paraId="723F93DC">
      <w:pPr>
        <w:pStyle w:val="3"/>
        <w:keepNext/>
        <w:keepLines/>
        <w:pageBreakBefore w:val="0"/>
        <w:widowControl/>
        <w:numPr>
          <w:ilvl w:val="0"/>
          <w:numId w:val="7"/>
        </w:numPr>
        <w:kinsoku/>
        <w:wordWrap/>
        <w:overflowPunct/>
        <w:topLinePunct w:val="0"/>
        <w:autoSpaceDE/>
        <w:autoSpaceDN/>
        <w:bidi w:val="0"/>
        <w:adjustRightInd/>
        <w:snapToGrid w:val="0"/>
        <w:spacing w:before="240" w:after="240" w:line="240" w:lineRule="auto"/>
        <w:textAlignment w:val="auto"/>
        <w:rPr>
          <w:rFonts w:hint="default" w:ascii="Consolas" w:hAnsi="Consolas" w:eastAsia="宋体" w:cs="Consolas"/>
          <w:color w:val="auto"/>
        </w:rPr>
      </w:pPr>
      <w:r>
        <w:rPr>
          <w:rFonts w:hint="default" w:ascii="Consolas" w:hAnsi="Consolas" w:eastAsia="宋体" w:cs="Consolas"/>
          <w:color w:val="auto"/>
        </w:rPr>
        <w:t>时间与空间建模设计</w:t>
      </w:r>
    </w:p>
    <w:p w14:paraId="0CA401C4">
      <w:pPr>
        <w:pStyle w:val="4"/>
        <w:keepNext/>
        <w:keepLines/>
        <w:pageBreakBefore w:val="0"/>
        <w:widowControl/>
        <w:kinsoku/>
        <w:wordWrap/>
        <w:overflowPunct/>
        <w:topLinePunct w:val="0"/>
        <w:autoSpaceDE/>
        <w:autoSpaceDN/>
        <w:bidi w:val="0"/>
        <w:adjustRightInd/>
        <w:snapToGrid w:val="0"/>
        <w:spacing w:before="180" w:after="180" w:line="240" w:lineRule="auto"/>
        <w:textAlignment w:val="auto"/>
        <w:rPr>
          <w:rFonts w:hint="default" w:ascii="Consolas" w:hAnsi="Consolas" w:eastAsia="宋体" w:cs="Consolas"/>
          <w:color w:val="auto"/>
        </w:rPr>
      </w:pPr>
      <w:r>
        <w:rPr>
          <w:rFonts w:hint="default" w:ascii="Consolas" w:hAnsi="Consolas" w:eastAsia="宋体" w:cs="Consolas"/>
          <w:color w:val="auto"/>
        </w:rPr>
        <w:t>5.1 时间口径</w:t>
      </w:r>
    </w:p>
    <w:p w14:paraId="18C5E045">
      <w:pPr>
        <w:keepNext w:val="0"/>
        <w:keepLines w:val="0"/>
        <w:pageBreakBefore w:val="0"/>
        <w:widowControl/>
        <w:kinsoku/>
        <w:wordWrap/>
        <w:overflowPunct/>
        <w:topLinePunct w:val="0"/>
        <w:autoSpaceDE/>
        <w:autoSpaceDN/>
        <w:bidi w:val="0"/>
        <w:adjustRightInd/>
        <w:snapToGrid w:val="0"/>
        <w:spacing w:after="0" w:line="360" w:lineRule="auto"/>
        <w:ind w:firstLine="420" w:firstLineChars="200"/>
        <w:textAlignment w:val="auto"/>
        <w:rPr>
          <w:rFonts w:hint="default" w:ascii="Consolas" w:hAnsi="Consolas" w:eastAsia="宋体" w:cs="Consolas"/>
          <w:color w:val="auto"/>
        </w:rPr>
      </w:pPr>
      <w:r>
        <w:rPr>
          <w:rFonts w:hint="default" w:ascii="Consolas" w:hAnsi="Consolas" w:eastAsia="宋体" w:cs="Consolas"/>
          <w:color w:val="auto"/>
        </w:rPr>
        <w:t>平台区分事件发生时间、设备上传时间、接入时间和数据处理时间。高频大气电场数据以设备上传时间作为主时间口径，用于月分区、窗口查询和数据连续性评估；雷击类数据以雷击发生时间作为空间统计的时间过滤口径；原始报文保留接入时间和来源位点，用于接入链路追溯。</w:t>
      </w:r>
    </w:p>
    <w:p w14:paraId="0A39AE0C">
      <w:pPr>
        <w:keepNext w:val="0"/>
        <w:keepLines w:val="0"/>
        <w:pageBreakBefore w:val="0"/>
        <w:widowControl/>
        <w:kinsoku/>
        <w:wordWrap/>
        <w:overflowPunct/>
        <w:topLinePunct w:val="0"/>
        <w:autoSpaceDE/>
        <w:autoSpaceDN/>
        <w:bidi w:val="0"/>
        <w:adjustRightInd/>
        <w:snapToGrid w:val="0"/>
        <w:spacing w:after="0" w:line="360" w:lineRule="auto"/>
        <w:ind w:firstLine="420" w:firstLineChars="200"/>
        <w:textAlignment w:val="auto"/>
        <w:rPr>
          <w:rFonts w:hint="default" w:ascii="Consolas" w:hAnsi="Consolas" w:eastAsia="宋体" w:cs="Consolas"/>
          <w:color w:val="auto"/>
        </w:rPr>
      </w:pPr>
      <w:r>
        <w:rPr>
          <w:rFonts w:hint="default" w:ascii="Consolas" w:hAnsi="Consolas" w:eastAsia="宋体" w:cs="Consolas"/>
          <w:color w:val="auto"/>
        </w:rPr>
        <w:t>性能测试造数时已保证大气电场设备上传时间非空且连续，能够支撑按时间窗口进行过程曲线分析。生产环境中如设备上传频率、采样间隔或补传策略发生变化，应重新评估容量和查询窗口数据量。</w:t>
      </w:r>
    </w:p>
    <w:p w14:paraId="1559A718">
      <w:pPr>
        <w:pStyle w:val="4"/>
        <w:keepNext/>
        <w:keepLines/>
        <w:pageBreakBefore w:val="0"/>
        <w:widowControl/>
        <w:kinsoku/>
        <w:wordWrap/>
        <w:overflowPunct/>
        <w:topLinePunct w:val="0"/>
        <w:autoSpaceDE/>
        <w:autoSpaceDN/>
        <w:bidi w:val="0"/>
        <w:adjustRightInd/>
        <w:snapToGrid w:val="0"/>
        <w:spacing w:before="180" w:after="180" w:line="240" w:lineRule="auto"/>
        <w:textAlignment w:val="auto"/>
        <w:rPr>
          <w:rFonts w:hint="default" w:ascii="Consolas" w:hAnsi="Consolas" w:eastAsia="宋体" w:cs="Consolas"/>
          <w:color w:val="auto"/>
        </w:rPr>
      </w:pPr>
      <w:r>
        <w:rPr>
          <w:rFonts w:hint="default" w:ascii="Consolas" w:hAnsi="Consolas" w:eastAsia="宋体" w:cs="Consolas"/>
          <w:color w:val="auto"/>
        </w:rPr>
        <w:t>5.2 空间口径</w:t>
      </w:r>
    </w:p>
    <w:p w14:paraId="45A7F66B">
      <w:pPr>
        <w:keepNext w:val="0"/>
        <w:keepLines w:val="0"/>
        <w:pageBreakBefore w:val="0"/>
        <w:widowControl/>
        <w:kinsoku/>
        <w:wordWrap/>
        <w:overflowPunct/>
        <w:topLinePunct w:val="0"/>
        <w:autoSpaceDE/>
        <w:autoSpaceDN/>
        <w:bidi w:val="0"/>
        <w:adjustRightInd/>
        <w:snapToGrid w:val="0"/>
        <w:spacing w:after="0" w:line="360" w:lineRule="auto"/>
        <w:ind w:firstLine="420" w:firstLineChars="200"/>
        <w:textAlignment w:val="auto"/>
        <w:rPr>
          <w:rFonts w:hint="default" w:ascii="Consolas" w:hAnsi="Consolas" w:eastAsia="宋体" w:cs="Consolas"/>
          <w:color w:val="auto"/>
        </w:rPr>
      </w:pPr>
      <w:r>
        <w:rPr>
          <w:rFonts w:hint="default" w:ascii="Consolas" w:hAnsi="Consolas" w:eastAsia="宋体" w:cs="Consolas"/>
          <w:color w:val="auto"/>
        </w:rPr>
        <w:t>雷击大网、小网及雷击业务事件统一生成空间点对象，入库时由经纬度生成空间字段。50km 范围查询统一基于雷击业务事件空间点与矿区调度室坐标进行距离计算，保证不同查询场景使用同一空间统计口径。</w:t>
      </w:r>
    </w:p>
    <w:p w14:paraId="2FB42574">
      <w:pPr>
        <w:keepNext w:val="0"/>
        <w:keepLines w:val="0"/>
        <w:pageBreakBefore w:val="0"/>
        <w:widowControl/>
        <w:kinsoku/>
        <w:wordWrap/>
        <w:overflowPunct/>
        <w:topLinePunct w:val="0"/>
        <w:autoSpaceDE/>
        <w:autoSpaceDN/>
        <w:bidi w:val="0"/>
        <w:adjustRightInd/>
        <w:snapToGrid w:val="0"/>
        <w:spacing w:after="0" w:line="360" w:lineRule="auto"/>
        <w:ind w:firstLine="420" w:firstLineChars="200"/>
        <w:textAlignment w:val="auto"/>
        <w:rPr>
          <w:rFonts w:hint="default" w:ascii="Consolas" w:hAnsi="Consolas" w:eastAsia="宋体" w:cs="Consolas"/>
          <w:color w:val="auto"/>
        </w:rPr>
      </w:pPr>
      <w:r>
        <w:rPr>
          <w:rFonts w:hint="default" w:ascii="Consolas" w:hAnsi="Consolas" w:eastAsia="宋体" w:cs="Consolas"/>
          <w:color w:val="auto"/>
        </w:rPr>
        <w:t>雷暴过程不维护动态中心点，避免过程中心点口径随算法变化影响统计结果。当前模型以矿区调度室坐标作为固定空间参考点，适合</w:t>
      </w:r>
      <w:r>
        <w:rPr>
          <w:rFonts w:hint="default" w:ascii="Consolas" w:hAnsi="Consolas" w:cs="Consolas"/>
          <w:color w:val="auto"/>
          <w:lang w:val="en-US" w:eastAsia="zh-CN"/>
        </w:rPr>
        <w:t>系统</w:t>
      </w:r>
      <w:r>
        <w:rPr>
          <w:rFonts w:hint="default" w:ascii="Consolas" w:hAnsi="Consolas" w:eastAsia="宋体" w:cs="Consolas"/>
          <w:color w:val="auto"/>
        </w:rPr>
        <w:t>开展矿区周边雷击数量、来源类型和雷击类型分布统计。</w:t>
      </w:r>
    </w:p>
    <w:p w14:paraId="7DE9FC26">
      <w:pPr>
        <w:pStyle w:val="3"/>
        <w:keepNext/>
        <w:keepLines/>
        <w:pageBreakBefore w:val="0"/>
        <w:widowControl/>
        <w:numPr>
          <w:ilvl w:val="0"/>
          <w:numId w:val="7"/>
        </w:numPr>
        <w:kinsoku/>
        <w:wordWrap/>
        <w:overflowPunct/>
        <w:topLinePunct w:val="0"/>
        <w:autoSpaceDE/>
        <w:autoSpaceDN/>
        <w:bidi w:val="0"/>
        <w:adjustRightInd/>
        <w:snapToGrid w:val="0"/>
        <w:spacing w:before="240" w:after="240" w:line="240" w:lineRule="auto"/>
        <w:textAlignment w:val="auto"/>
        <w:rPr>
          <w:rFonts w:hint="default" w:ascii="Consolas" w:hAnsi="Consolas" w:eastAsia="宋体" w:cs="Consolas"/>
          <w:color w:val="auto"/>
        </w:rPr>
      </w:pPr>
      <w:r>
        <w:rPr>
          <w:rFonts w:hint="default" w:ascii="Consolas" w:hAnsi="Consolas" w:eastAsia="宋体" w:cs="Consolas"/>
          <w:color w:val="auto"/>
        </w:rPr>
        <w:t>分区、索引与空间字段设计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515"/>
        <w:gridCol w:w="3855"/>
      </w:tblGrid>
      <w:tr w14:paraId="0FF27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BEBEBE" w:themeFill="background1" w:themeFillShade="BF"/>
            <w:vAlign w:val="center"/>
          </w:tcPr>
          <w:p w14:paraId="78E43BE2">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对象类型</w:t>
            </w:r>
          </w:p>
        </w:tc>
        <w:tc>
          <w:tcPr>
            <w:tcW w:w="3515" w:type="dxa"/>
            <w:shd w:val="clear" w:color="auto" w:fill="BEBEBE" w:themeFill="background1" w:themeFillShade="BF"/>
            <w:vAlign w:val="center"/>
          </w:tcPr>
          <w:p w14:paraId="0FF88B45">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设计策略</w:t>
            </w:r>
          </w:p>
        </w:tc>
        <w:tc>
          <w:tcPr>
            <w:tcW w:w="3855" w:type="dxa"/>
            <w:shd w:val="clear" w:color="auto" w:fill="BEBEBE" w:themeFill="background1" w:themeFillShade="BF"/>
            <w:vAlign w:val="center"/>
          </w:tcPr>
          <w:p w14:paraId="6B249D82">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压测体现</w:t>
            </w:r>
          </w:p>
        </w:tc>
      </w:tr>
      <w:tr w14:paraId="26055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40F384C">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高频大气电场数据</w:t>
            </w:r>
          </w:p>
        </w:tc>
        <w:tc>
          <w:tcPr>
            <w:tcW w:w="3515" w:type="dxa"/>
            <w:vAlign w:val="center"/>
          </w:tcPr>
          <w:p w14:paraId="1D79A77B">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标准层和业务事件层按设备上传时间进行月分区，并建立设备与时间组合索引。</w:t>
            </w:r>
          </w:p>
        </w:tc>
        <w:tc>
          <w:tcPr>
            <w:tcW w:w="3855" w:type="dxa"/>
            <w:vAlign w:val="center"/>
          </w:tcPr>
          <w:p w14:paraId="0E4CEE7A">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分页查询和过程窗口曲线查询可限制在目标时间范围内，S4 阶段未出现因全表扫描导致的系统性退化。</w:t>
            </w:r>
          </w:p>
        </w:tc>
      </w:tr>
      <w:tr w14:paraId="681A6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EAB4180">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雷击业务事件</w:t>
            </w:r>
          </w:p>
        </w:tc>
        <w:tc>
          <w:tcPr>
            <w:tcW w:w="3515" w:type="dxa"/>
            <w:vAlign w:val="center"/>
          </w:tcPr>
          <w:p w14:paraId="3669DCDF">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统一保留雷击空间点，并结合发生时间和空间索引支撑范围查询。</w:t>
            </w:r>
          </w:p>
        </w:tc>
        <w:tc>
          <w:tcPr>
            <w:tcW w:w="3855" w:type="dxa"/>
            <w:vAlign w:val="center"/>
          </w:tcPr>
          <w:p w14:paraId="34C77366">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50km 雷击数量、来源类型分布和雷击类型分布查询均可命中空间或时间过滤路径，S4 阶段响应满足目标阈值。</w:t>
            </w:r>
          </w:p>
        </w:tc>
      </w:tr>
      <w:tr w14:paraId="7F4CF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E7E7B62">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原始报文</w:t>
            </w:r>
          </w:p>
        </w:tc>
        <w:tc>
          <w:tcPr>
            <w:tcW w:w="3515" w:type="dxa"/>
            <w:vAlign w:val="center"/>
          </w:tcPr>
          <w:p w14:paraId="79EE0809">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保留来源主题、分区和位点去重能力，支持接入幂等和问题追溯。</w:t>
            </w:r>
          </w:p>
        </w:tc>
        <w:tc>
          <w:tcPr>
            <w:tcW w:w="3855" w:type="dxa"/>
            <w:vAlign w:val="center"/>
          </w:tcPr>
          <w:p w14:paraId="67FF0697">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造数校验中重复组为 0，满足原始报文唯一去重要求。</w:t>
            </w:r>
          </w:p>
        </w:tc>
      </w:tr>
      <w:tr w14:paraId="4017A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01" w:type="dxa"/>
            <w:vAlign w:val="center"/>
          </w:tcPr>
          <w:p w14:paraId="65A9DEE9">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雷暴过程及闭环表</w:t>
            </w:r>
          </w:p>
        </w:tc>
        <w:tc>
          <w:tcPr>
            <w:tcW w:w="3515" w:type="dxa"/>
            <w:vAlign w:val="center"/>
          </w:tcPr>
          <w:p w14:paraId="35D02E34">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以矿区和过程时间窗口组织过程数据，关联预警、通知、巡检和处置记录。</w:t>
            </w:r>
          </w:p>
        </w:tc>
        <w:tc>
          <w:tcPr>
            <w:tcW w:w="3855" w:type="dxa"/>
            <w:vAlign w:val="center"/>
          </w:tcPr>
          <w:p w14:paraId="7DA94099">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过程窗口可支撑曲线查询和过程闭环校验，未发现关系链路缺失。</w:t>
            </w:r>
          </w:p>
        </w:tc>
      </w:tr>
      <w:tr w14:paraId="3D199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DA11DC8">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低频设备数据</w:t>
            </w:r>
          </w:p>
        </w:tc>
        <w:tc>
          <w:tcPr>
            <w:tcW w:w="3515" w:type="dxa"/>
            <w:vAlign w:val="center"/>
          </w:tcPr>
          <w:p w14:paraId="4A7D2126">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按设备类型进入标准层和业务层，数据规模由设备数量和上传频率决定。</w:t>
            </w:r>
          </w:p>
        </w:tc>
        <w:tc>
          <w:tcPr>
            <w:tcW w:w="3855" w:type="dxa"/>
            <w:vAlign w:val="center"/>
          </w:tcPr>
          <w:p w14:paraId="48A085A6">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当前测试按方案频率估算，生产环境设备频率变化会带来容量偏差风险。</w:t>
            </w:r>
          </w:p>
        </w:tc>
      </w:tr>
    </w:tbl>
    <w:p w14:paraId="2559DDD6">
      <w:pPr>
        <w:pStyle w:val="3"/>
        <w:keepNext/>
        <w:keepLines/>
        <w:pageBreakBefore w:val="0"/>
        <w:widowControl/>
        <w:numPr>
          <w:ilvl w:val="0"/>
          <w:numId w:val="7"/>
        </w:numPr>
        <w:kinsoku/>
        <w:wordWrap/>
        <w:overflowPunct/>
        <w:topLinePunct w:val="0"/>
        <w:autoSpaceDE/>
        <w:autoSpaceDN/>
        <w:bidi w:val="0"/>
        <w:adjustRightInd/>
        <w:snapToGrid w:val="0"/>
        <w:spacing w:before="240" w:after="240" w:line="240" w:lineRule="auto"/>
        <w:textAlignment w:val="auto"/>
        <w:rPr>
          <w:rFonts w:hint="default" w:ascii="Consolas" w:hAnsi="Consolas" w:eastAsia="宋体" w:cs="Consolas"/>
          <w:color w:val="auto"/>
        </w:rPr>
      </w:pPr>
      <w:r>
        <w:rPr>
          <w:rFonts w:hint="default" w:ascii="Consolas" w:hAnsi="Consolas" w:eastAsia="宋体" w:cs="Consolas"/>
          <w:color w:val="auto"/>
        </w:rPr>
        <w:t>指标口径说明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685"/>
        <w:gridCol w:w="3572"/>
      </w:tblGrid>
      <w:tr w14:paraId="30F15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BEBEBE" w:themeFill="background1" w:themeFillShade="BF"/>
            <w:vAlign w:val="center"/>
          </w:tcPr>
          <w:p w14:paraId="18FEF0AE">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指标/场景</w:t>
            </w:r>
          </w:p>
        </w:tc>
        <w:tc>
          <w:tcPr>
            <w:tcW w:w="3685" w:type="dxa"/>
            <w:shd w:val="clear" w:color="auto" w:fill="BEBEBE" w:themeFill="background1" w:themeFillShade="BF"/>
            <w:vAlign w:val="center"/>
          </w:tcPr>
          <w:p w14:paraId="031B0EDB">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统计口径</w:t>
            </w:r>
          </w:p>
        </w:tc>
        <w:tc>
          <w:tcPr>
            <w:tcW w:w="3572" w:type="dxa"/>
            <w:shd w:val="clear" w:color="auto" w:fill="BEBEBE" w:themeFill="background1" w:themeFillShade="BF"/>
            <w:vAlign w:val="center"/>
          </w:tcPr>
          <w:p w14:paraId="28C5B8E4">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说明</w:t>
            </w:r>
          </w:p>
        </w:tc>
      </w:tr>
      <w:tr w14:paraId="248EF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B9FF7BA">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接入成功率</w:t>
            </w:r>
          </w:p>
        </w:tc>
        <w:tc>
          <w:tcPr>
            <w:tcW w:w="3685" w:type="dxa"/>
            <w:vAlign w:val="center"/>
          </w:tcPr>
          <w:p w14:paraId="201B724C">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成功入库或成功处理数量 / 接入总数量</w:t>
            </w:r>
          </w:p>
        </w:tc>
        <w:tc>
          <w:tcPr>
            <w:tcW w:w="3572" w:type="dxa"/>
            <w:vAlign w:val="center"/>
          </w:tcPr>
          <w:p w14:paraId="289116B8">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用于评估数据接入链路稳定性。</w:t>
            </w:r>
          </w:p>
        </w:tc>
      </w:tr>
      <w:tr w14:paraId="27095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8A71C2D">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大气电场分页查询</w:t>
            </w:r>
          </w:p>
        </w:tc>
        <w:tc>
          <w:tcPr>
            <w:tcW w:w="3685" w:type="dxa"/>
            <w:vAlign w:val="center"/>
          </w:tcPr>
          <w:p w14:paraId="7EB9B1DD">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按设备和时间范围过滤，按上传时间倒序分页返回</w:t>
            </w:r>
          </w:p>
        </w:tc>
        <w:tc>
          <w:tcPr>
            <w:tcW w:w="3572" w:type="dxa"/>
            <w:vAlign w:val="center"/>
          </w:tcPr>
          <w:p w14:paraId="345B6CB8">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每次返回固定页大小，主要验证分区和设备时间索引。</w:t>
            </w:r>
          </w:p>
        </w:tc>
      </w:tr>
      <w:tr w14:paraId="4A55C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A658141">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雷暴过程窗口曲线</w:t>
            </w:r>
          </w:p>
        </w:tc>
        <w:tc>
          <w:tcPr>
            <w:tcW w:w="3685" w:type="dxa"/>
            <w:vAlign w:val="center"/>
          </w:tcPr>
          <w:p w14:paraId="6ACB2CB9">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按选定雷暴过程的数据窗口查询多台设备曲线数据</w:t>
            </w:r>
          </w:p>
        </w:tc>
        <w:tc>
          <w:tcPr>
            <w:tcW w:w="3572" w:type="dxa"/>
            <w:vAlign w:val="center"/>
          </w:tcPr>
          <w:p w14:paraId="18EB36F8">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属于大结果集查询，端到端耗时会受到执行环境和客户端接收能力影响。</w:t>
            </w:r>
          </w:p>
        </w:tc>
      </w:tr>
      <w:tr w14:paraId="59D64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8769115">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50km 雷击数量</w:t>
            </w:r>
          </w:p>
        </w:tc>
        <w:tc>
          <w:tcPr>
            <w:tcW w:w="3685" w:type="dxa"/>
            <w:vAlign w:val="center"/>
          </w:tcPr>
          <w:p w14:paraId="2B9AD414">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按雷暴过程时间窗口和调度室 50km 范围统计雷击业务事件数量</w:t>
            </w:r>
          </w:p>
        </w:tc>
        <w:tc>
          <w:tcPr>
            <w:tcW w:w="3572" w:type="dxa"/>
            <w:vAlign w:val="center"/>
          </w:tcPr>
          <w:p w14:paraId="2B9071FF">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统一使用雷击业务事件空间点和矿区调度室坐标。</w:t>
            </w:r>
          </w:p>
        </w:tc>
      </w:tr>
      <w:tr w14:paraId="5D0F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791546B">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来源类型分布</w:t>
            </w:r>
          </w:p>
        </w:tc>
        <w:tc>
          <w:tcPr>
            <w:tcW w:w="3685" w:type="dxa"/>
            <w:vAlign w:val="center"/>
          </w:tcPr>
          <w:p w14:paraId="057FD001">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在同一时间和空间范围内按来源类型分组统计</w:t>
            </w:r>
          </w:p>
        </w:tc>
        <w:tc>
          <w:tcPr>
            <w:tcW w:w="3572" w:type="dxa"/>
            <w:vAlign w:val="center"/>
          </w:tcPr>
          <w:p w14:paraId="0E9FA239">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用于分析雷击数据来源构成。</w:t>
            </w:r>
          </w:p>
        </w:tc>
      </w:tr>
      <w:tr w14:paraId="5DEE6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A79E888">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雷击类型分布</w:t>
            </w:r>
          </w:p>
        </w:tc>
        <w:tc>
          <w:tcPr>
            <w:tcW w:w="3685" w:type="dxa"/>
            <w:vAlign w:val="center"/>
          </w:tcPr>
          <w:p w14:paraId="58CD1E31">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在同一时间和空间范围内按雷击类型分组统计</w:t>
            </w:r>
          </w:p>
        </w:tc>
        <w:tc>
          <w:tcPr>
            <w:tcW w:w="3572" w:type="dxa"/>
            <w:vAlign w:val="center"/>
          </w:tcPr>
          <w:p w14:paraId="732F8E58">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用于分析雷击类型构成。</w:t>
            </w:r>
          </w:p>
        </w:tc>
      </w:tr>
      <w:tr w14:paraId="00513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B815C2F">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原始报文去重</w:t>
            </w:r>
          </w:p>
        </w:tc>
        <w:tc>
          <w:tcPr>
            <w:tcW w:w="3685" w:type="dxa"/>
            <w:vAlign w:val="center"/>
          </w:tcPr>
          <w:p w14:paraId="6DB79747">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按 topic、partition、offset 判断唯一性</w:t>
            </w:r>
          </w:p>
        </w:tc>
        <w:tc>
          <w:tcPr>
            <w:tcW w:w="3572" w:type="dxa"/>
            <w:vAlign w:val="center"/>
          </w:tcPr>
          <w:p w14:paraId="0025C095">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用于避免同一 Kafka 位点重复入库。</w:t>
            </w:r>
          </w:p>
        </w:tc>
      </w:tr>
      <w:tr w14:paraId="124A9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D671191">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数据质量校验</w:t>
            </w:r>
          </w:p>
        </w:tc>
        <w:tc>
          <w:tcPr>
            <w:tcW w:w="3685" w:type="dxa"/>
            <w:vAlign w:val="center"/>
          </w:tcPr>
          <w:p w14:paraId="1452ED41">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时间非空、经纬度合法、空间字段完整、标准与业务关系完整</w:t>
            </w:r>
          </w:p>
        </w:tc>
        <w:tc>
          <w:tcPr>
            <w:tcW w:w="3572" w:type="dxa"/>
            <w:vAlign w:val="center"/>
          </w:tcPr>
          <w:p w14:paraId="35166209">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用于保证查询和统计结果可信。</w:t>
            </w:r>
          </w:p>
        </w:tc>
      </w:tr>
    </w:tbl>
    <w:p w14:paraId="433C1A83">
      <w:pPr>
        <w:pStyle w:val="3"/>
        <w:keepNext/>
        <w:keepLines/>
        <w:pageBreakBefore w:val="0"/>
        <w:widowControl/>
        <w:numPr>
          <w:ilvl w:val="0"/>
          <w:numId w:val="7"/>
        </w:numPr>
        <w:kinsoku/>
        <w:wordWrap/>
        <w:overflowPunct/>
        <w:topLinePunct w:val="0"/>
        <w:autoSpaceDE/>
        <w:autoSpaceDN/>
        <w:bidi w:val="0"/>
        <w:adjustRightInd/>
        <w:snapToGrid w:val="0"/>
        <w:spacing w:before="240" w:after="240" w:line="240" w:lineRule="auto"/>
        <w:textAlignment w:val="auto"/>
        <w:rPr>
          <w:rFonts w:hint="default" w:ascii="Consolas" w:hAnsi="Consolas" w:eastAsia="宋体" w:cs="Consolas"/>
          <w:color w:val="auto"/>
        </w:rPr>
      </w:pPr>
      <w:r>
        <w:rPr>
          <w:rFonts w:hint="default" w:ascii="Consolas" w:hAnsi="Consolas" w:eastAsia="宋体" w:cs="Consolas"/>
          <w:color w:val="auto"/>
        </w:rPr>
        <w:t>数据规模与容量假设</w:t>
      </w:r>
    </w:p>
    <w:p w14:paraId="6C54DA56">
      <w:pPr>
        <w:keepNext w:val="0"/>
        <w:keepLines w:val="0"/>
        <w:pageBreakBefore w:val="0"/>
        <w:widowControl/>
        <w:kinsoku/>
        <w:wordWrap/>
        <w:overflowPunct/>
        <w:topLinePunct w:val="0"/>
        <w:autoSpaceDE/>
        <w:autoSpaceDN/>
        <w:bidi w:val="0"/>
        <w:adjustRightInd/>
        <w:snapToGrid w:val="0"/>
        <w:spacing w:after="0" w:line="360" w:lineRule="auto"/>
        <w:ind w:firstLine="420" w:firstLineChars="200"/>
        <w:textAlignment w:val="auto"/>
        <w:rPr>
          <w:rFonts w:hint="default" w:ascii="Consolas" w:hAnsi="Consolas" w:eastAsia="宋体" w:cs="Consolas"/>
          <w:color w:val="auto"/>
        </w:rPr>
      </w:pPr>
      <w:r>
        <w:rPr>
          <w:rFonts w:hint="default" w:ascii="Consolas" w:hAnsi="Consolas" w:eastAsia="宋体" w:cs="Consolas"/>
          <w:color w:val="auto"/>
        </w:rPr>
        <w:t>本阶段容量评估基于测试方案中的 S0-S4 数据档位进行，覆盖从建模验证规模到推荐存量规模。S4 阶段总体数据规模约 1.17 亿条，其中大气电场标准数据、大气电场业务事件和原始报文为主要数据量来源。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701"/>
        <w:gridCol w:w="1928"/>
        <w:gridCol w:w="4195"/>
      </w:tblGrid>
      <w:tr w14:paraId="14497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BEBEBE" w:themeFill="background1" w:themeFillShade="BF"/>
            <w:vAlign w:val="center"/>
          </w:tcPr>
          <w:p w14:paraId="7F5611D9">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阶段</w:t>
            </w:r>
          </w:p>
        </w:tc>
        <w:tc>
          <w:tcPr>
            <w:tcW w:w="1701" w:type="dxa"/>
            <w:shd w:val="clear" w:color="auto" w:fill="BEBEBE" w:themeFill="background1" w:themeFillShade="BF"/>
            <w:vAlign w:val="center"/>
          </w:tcPr>
          <w:p w14:paraId="1D2B2A43">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定位</w:t>
            </w:r>
          </w:p>
        </w:tc>
        <w:tc>
          <w:tcPr>
            <w:tcW w:w="1928" w:type="dxa"/>
            <w:shd w:val="clear" w:color="auto" w:fill="BEBEBE" w:themeFill="background1" w:themeFillShade="BF"/>
            <w:vAlign w:val="center"/>
          </w:tcPr>
          <w:p w14:paraId="5F0455B3">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总体数据规模</w:t>
            </w:r>
          </w:p>
        </w:tc>
        <w:tc>
          <w:tcPr>
            <w:tcW w:w="4195" w:type="dxa"/>
            <w:shd w:val="clear" w:color="auto" w:fill="BEBEBE" w:themeFill="background1" w:themeFillShade="BF"/>
            <w:vAlign w:val="center"/>
          </w:tcPr>
          <w:p w14:paraId="0D4F85EA">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说明</w:t>
            </w:r>
          </w:p>
        </w:tc>
      </w:tr>
      <w:tr w14:paraId="0261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60C8E8AF">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S0</w:t>
            </w:r>
          </w:p>
        </w:tc>
        <w:tc>
          <w:tcPr>
            <w:tcW w:w="1701" w:type="dxa"/>
            <w:vAlign w:val="center"/>
          </w:tcPr>
          <w:p w14:paraId="47C86791">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建模验证</w:t>
            </w:r>
          </w:p>
        </w:tc>
        <w:tc>
          <w:tcPr>
            <w:tcW w:w="1928" w:type="dxa"/>
            <w:vAlign w:val="center"/>
          </w:tcPr>
          <w:p w14:paraId="5134292B">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约 3.8 万条</w:t>
            </w:r>
          </w:p>
        </w:tc>
        <w:tc>
          <w:tcPr>
            <w:tcW w:w="4195" w:type="dxa"/>
            <w:vAlign w:val="center"/>
          </w:tcPr>
          <w:p w14:paraId="2EC45C3A">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验证表结构、关系链路和基础查询可用性。</w:t>
            </w:r>
          </w:p>
        </w:tc>
      </w:tr>
      <w:tr w14:paraId="738A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616788DC">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S1</w:t>
            </w:r>
          </w:p>
        </w:tc>
        <w:tc>
          <w:tcPr>
            <w:tcW w:w="1701" w:type="dxa"/>
            <w:vAlign w:val="center"/>
          </w:tcPr>
          <w:p w14:paraId="402E78D3">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基线档</w:t>
            </w:r>
          </w:p>
        </w:tc>
        <w:tc>
          <w:tcPr>
            <w:tcW w:w="1928" w:type="dxa"/>
            <w:vAlign w:val="center"/>
          </w:tcPr>
          <w:p w14:paraId="5488BD05">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约 601.9 万条</w:t>
            </w:r>
          </w:p>
        </w:tc>
        <w:tc>
          <w:tcPr>
            <w:tcW w:w="4195" w:type="dxa"/>
            <w:vAlign w:val="center"/>
          </w:tcPr>
          <w:p w14:paraId="25210EEB">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验证百万级核心大表下的基础性能。</w:t>
            </w:r>
          </w:p>
        </w:tc>
      </w:tr>
      <w:tr w14:paraId="20ECB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6A5B804C">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S2</w:t>
            </w:r>
          </w:p>
        </w:tc>
        <w:tc>
          <w:tcPr>
            <w:tcW w:w="1701" w:type="dxa"/>
            <w:vAlign w:val="center"/>
          </w:tcPr>
          <w:p w14:paraId="2F761C28">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增长档</w:t>
            </w:r>
          </w:p>
        </w:tc>
        <w:tc>
          <w:tcPr>
            <w:tcW w:w="1928" w:type="dxa"/>
            <w:vAlign w:val="center"/>
          </w:tcPr>
          <w:p w14:paraId="6F300653">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约 2707 万条</w:t>
            </w:r>
          </w:p>
        </w:tc>
        <w:tc>
          <w:tcPr>
            <w:tcW w:w="4195" w:type="dxa"/>
            <w:vAlign w:val="center"/>
          </w:tcPr>
          <w:p w14:paraId="294249E8">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验证千万级增长后的查询稳定性。</w:t>
            </w:r>
          </w:p>
        </w:tc>
      </w:tr>
      <w:tr w14:paraId="1F628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3E67E1B">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S3</w:t>
            </w:r>
          </w:p>
        </w:tc>
        <w:tc>
          <w:tcPr>
            <w:tcW w:w="1701" w:type="dxa"/>
            <w:vAlign w:val="center"/>
          </w:tcPr>
          <w:p w14:paraId="2EF0FD6C">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压力档</w:t>
            </w:r>
          </w:p>
        </w:tc>
        <w:tc>
          <w:tcPr>
            <w:tcW w:w="1928" w:type="dxa"/>
            <w:vAlign w:val="center"/>
          </w:tcPr>
          <w:p w14:paraId="4BDC91C9">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约 5117 万条</w:t>
            </w:r>
          </w:p>
        </w:tc>
        <w:tc>
          <w:tcPr>
            <w:tcW w:w="4195" w:type="dxa"/>
            <w:vAlign w:val="center"/>
          </w:tcPr>
          <w:p w14:paraId="6557DC60">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验证更高数据规模下的索引和空间查询能力。</w:t>
            </w:r>
          </w:p>
        </w:tc>
      </w:tr>
      <w:tr w14:paraId="678C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4FDE3D0C">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S4</w:t>
            </w:r>
          </w:p>
        </w:tc>
        <w:tc>
          <w:tcPr>
            <w:tcW w:w="1701" w:type="dxa"/>
            <w:vAlign w:val="center"/>
          </w:tcPr>
          <w:p w14:paraId="6A73296C">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推荐存量档</w:t>
            </w:r>
          </w:p>
        </w:tc>
        <w:tc>
          <w:tcPr>
            <w:tcW w:w="1928" w:type="dxa"/>
            <w:vAlign w:val="center"/>
          </w:tcPr>
          <w:p w14:paraId="2CB2B854">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约 1.17 亿条</w:t>
            </w:r>
          </w:p>
        </w:tc>
        <w:tc>
          <w:tcPr>
            <w:tcW w:w="4195" w:type="dxa"/>
            <w:vAlign w:val="center"/>
          </w:tcPr>
          <w:p w14:paraId="6552F9F0">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验证推荐存量规模下的核心场景响应能力。</w:t>
            </w:r>
          </w:p>
        </w:tc>
      </w:tr>
    </w:tbl>
    <w:p w14:paraId="04A8242A">
      <w:pPr>
        <w:keepNext w:val="0"/>
        <w:keepLines w:val="0"/>
        <w:pageBreakBefore w:val="0"/>
        <w:widowControl/>
        <w:kinsoku/>
        <w:wordWrap/>
        <w:overflowPunct/>
        <w:topLinePunct w:val="0"/>
        <w:autoSpaceDE/>
        <w:autoSpaceDN/>
        <w:bidi w:val="0"/>
        <w:adjustRightInd/>
        <w:snapToGrid w:val="0"/>
        <w:spacing w:after="0" w:line="360" w:lineRule="auto"/>
        <w:ind w:firstLine="420" w:firstLineChars="200"/>
        <w:textAlignment w:val="auto"/>
        <w:rPr>
          <w:rFonts w:hint="default" w:ascii="Consolas" w:hAnsi="Consolas" w:eastAsia="宋体" w:cs="Consolas"/>
          <w:color w:val="auto"/>
        </w:rPr>
      </w:pPr>
      <w:r>
        <w:rPr>
          <w:rFonts w:hint="default" w:ascii="Consolas" w:hAnsi="Consolas" w:eastAsia="宋体" w:cs="Consolas"/>
          <w:color w:val="auto"/>
        </w:rPr>
        <w:t>低频设备数据规模基于当前设备类型、设备数量和预估上传频率评估。生产环境中如果设备数量增加、上传频率提高或采集策略调</w:t>
      </w:r>
      <w:bookmarkStart w:id="0" w:name="_GoBack"/>
      <w:bookmarkEnd w:id="0"/>
      <w:r>
        <w:rPr>
          <w:rFonts w:hint="default" w:ascii="Consolas" w:hAnsi="Consolas" w:eastAsia="宋体" w:cs="Consolas"/>
          <w:color w:val="auto"/>
        </w:rPr>
        <w:t>整，实际数据规模可能与本次测试档位存在偏差，需要重新进行容量测算和关键查询复测。</w:t>
      </w:r>
    </w:p>
    <w:p w14:paraId="7BBC498A">
      <w:pPr>
        <w:pStyle w:val="3"/>
        <w:keepNext/>
        <w:keepLines/>
        <w:pageBreakBefore w:val="0"/>
        <w:widowControl/>
        <w:numPr>
          <w:ilvl w:val="0"/>
          <w:numId w:val="7"/>
        </w:numPr>
        <w:kinsoku/>
        <w:wordWrap/>
        <w:overflowPunct/>
        <w:topLinePunct w:val="0"/>
        <w:autoSpaceDE/>
        <w:autoSpaceDN/>
        <w:bidi w:val="0"/>
        <w:adjustRightInd/>
        <w:snapToGrid w:val="0"/>
        <w:spacing w:before="240" w:after="240" w:line="240" w:lineRule="auto"/>
        <w:textAlignment w:val="auto"/>
        <w:rPr>
          <w:rFonts w:hint="default" w:ascii="Consolas" w:hAnsi="Consolas" w:eastAsia="宋体" w:cs="Consolas"/>
          <w:color w:val="auto"/>
        </w:rPr>
      </w:pPr>
      <w:r>
        <w:rPr>
          <w:rFonts w:hint="default" w:ascii="Consolas" w:hAnsi="Consolas" w:eastAsia="宋体" w:cs="Consolas"/>
          <w:color w:val="auto"/>
        </w:rPr>
        <w:t>性能验证结果对模型设计的支撑</w:t>
      </w:r>
    </w:p>
    <w:p w14:paraId="0A9A9B20">
      <w:pPr>
        <w:keepNext w:val="0"/>
        <w:keepLines w:val="0"/>
        <w:pageBreakBefore w:val="0"/>
        <w:widowControl/>
        <w:kinsoku/>
        <w:wordWrap/>
        <w:overflowPunct/>
        <w:topLinePunct w:val="0"/>
        <w:autoSpaceDE/>
        <w:autoSpaceDN/>
        <w:bidi w:val="0"/>
        <w:adjustRightInd/>
        <w:snapToGrid w:val="0"/>
        <w:spacing w:after="0" w:line="360" w:lineRule="auto"/>
        <w:ind w:firstLine="420" w:firstLineChars="200"/>
        <w:textAlignment w:val="auto"/>
        <w:rPr>
          <w:rFonts w:hint="default" w:ascii="Consolas" w:hAnsi="Consolas" w:eastAsia="宋体" w:cs="Consolas"/>
          <w:color w:val="auto"/>
        </w:rPr>
      </w:pPr>
      <w:r>
        <w:rPr>
          <w:rFonts w:hint="default" w:ascii="Consolas" w:hAnsi="Consolas" w:eastAsia="宋体" w:cs="Consolas"/>
          <w:color w:val="auto"/>
        </w:rPr>
        <w:t>本次性能测试基于单机 PostgreSQL + PostGIS 环境开展，测试目标是</w:t>
      </w:r>
      <w:r>
        <w:rPr>
          <w:rFonts w:hint="default" w:ascii="Consolas" w:hAnsi="Consolas" w:cs="Consolas"/>
          <w:color w:val="auto"/>
          <w:lang w:val="en-US" w:eastAsia="zh-CN"/>
        </w:rPr>
        <w:t>验证当前系统</w:t>
      </w:r>
      <w:r>
        <w:rPr>
          <w:rFonts w:hint="default" w:ascii="Consolas" w:hAnsi="Consolas" w:eastAsia="宋体" w:cs="Consolas"/>
          <w:color w:val="auto"/>
        </w:rPr>
        <w:t>数据库模型、分区索引和空间字段设计是否能够支撑核心业务场景。测试工具包括自定义数据生产程序、SQL 压测程序、Prometheus、node_exporter 和 Grafana。</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685"/>
        <w:gridCol w:w="3685"/>
      </w:tblGrid>
      <w:tr w14:paraId="61769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BEBEBE" w:themeFill="background1" w:themeFillShade="BF"/>
            <w:vAlign w:val="center"/>
          </w:tcPr>
          <w:p w14:paraId="605649FA">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验证项</w:t>
            </w:r>
          </w:p>
        </w:tc>
        <w:tc>
          <w:tcPr>
            <w:tcW w:w="3685" w:type="dxa"/>
            <w:shd w:val="clear" w:color="auto" w:fill="BEBEBE" w:themeFill="background1" w:themeFillShade="BF"/>
            <w:vAlign w:val="center"/>
          </w:tcPr>
          <w:p w14:paraId="36BB27D3">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代表结果</w:t>
            </w:r>
          </w:p>
        </w:tc>
        <w:tc>
          <w:tcPr>
            <w:tcW w:w="3685" w:type="dxa"/>
            <w:shd w:val="clear" w:color="auto" w:fill="BEBEBE" w:themeFill="background1" w:themeFillShade="BF"/>
            <w:vAlign w:val="center"/>
          </w:tcPr>
          <w:p w14:paraId="2049957A">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设计判断</w:t>
            </w:r>
          </w:p>
        </w:tc>
      </w:tr>
      <w:tr w14:paraId="3C46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7D1B44B">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写入类场景</w:t>
            </w:r>
          </w:p>
        </w:tc>
        <w:tc>
          <w:tcPr>
            <w:tcW w:w="3685" w:type="dxa"/>
            <w:vAlign w:val="center"/>
          </w:tcPr>
          <w:p w14:paraId="59B57079">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S0-S4 阶段持续写入类场景均满足目标阈值。</w:t>
            </w:r>
          </w:p>
        </w:tc>
        <w:tc>
          <w:tcPr>
            <w:tcW w:w="3685" w:type="dxa"/>
            <w:vAlign w:val="center"/>
          </w:tcPr>
          <w:p w14:paraId="515AA139">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标准层、原始报文和雷击业务事件写入路径可支撑当前阶段测试规模。</w:t>
            </w:r>
          </w:p>
        </w:tc>
      </w:tr>
      <w:tr w14:paraId="0B006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7C950B4">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分页查询</w:t>
            </w:r>
          </w:p>
        </w:tc>
        <w:tc>
          <w:tcPr>
            <w:tcW w:w="3685" w:type="dxa"/>
            <w:vAlign w:val="center"/>
          </w:tcPr>
          <w:p w14:paraId="316A57C0">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分页查询在大数据量下仍可保持稳定响应。</w:t>
            </w:r>
          </w:p>
        </w:tc>
        <w:tc>
          <w:tcPr>
            <w:tcW w:w="3685" w:type="dxa"/>
            <w:vAlign w:val="center"/>
          </w:tcPr>
          <w:p w14:paraId="3509A21D">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按时间分区和设备时间索引设计有效。</w:t>
            </w:r>
          </w:p>
        </w:tc>
      </w:tr>
      <w:tr w14:paraId="78852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CB0A654">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过程窗口曲线查询</w:t>
            </w:r>
          </w:p>
        </w:tc>
        <w:tc>
          <w:tcPr>
            <w:tcW w:w="3685" w:type="dxa"/>
            <w:vAlign w:val="center"/>
          </w:tcPr>
          <w:p>
            <w:r/>
            <w:r/>
            <w:r>
              <w:t>S4 阶段 50 并发 × 500 次测试中，P95=1041.1ms，P99=1368.7ms。</w:t>
            </w:r>
          </w:p>
        </w:tc>
        <w:tc>
          <w:tcPr>
            <w:tcW w:w="3685" w:type="dxa"/>
            <w:vAlign w:val="center"/>
          </w:tcPr>
          <w:p w14:paraId="3CF533FE">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大结果集曲线查询在数据库侧具备可接受性能；跨执行环境压测会受到传输链路影响。</w:t>
            </w:r>
          </w:p>
        </w:tc>
      </w:tr>
      <w:tr w14:paraId="0EC47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EEE73D2">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50km 雷击统计</w:t>
            </w:r>
          </w:p>
        </w:tc>
        <w:tc>
          <w:tcPr>
            <w:tcW w:w="3685" w:type="dxa"/>
            <w:vAlign w:val="center"/>
          </w:tcPr>
          <w:p w14:paraId="47904EE3">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S4 阶段雷击数量、来源分布和类型分布查询均满足目标阈值。</w:t>
            </w:r>
          </w:p>
        </w:tc>
        <w:tc>
          <w:tcPr>
            <w:tcW w:w="3685" w:type="dxa"/>
            <w:vAlign w:val="center"/>
          </w:tcPr>
          <w:p w14:paraId="14A76E65">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统一空间字段和调度室坐标口径能够支撑当前范围统计场景。</w:t>
            </w:r>
          </w:p>
        </w:tc>
      </w:tr>
      <w:tr w14:paraId="7CB74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F673CA9">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索引与分区利用</w:t>
            </w:r>
          </w:p>
        </w:tc>
        <w:tc>
          <w:tcPr>
            <w:tcW w:w="3685" w:type="dxa"/>
            <w:vAlign w:val="center"/>
          </w:tcPr>
          <w:p w14:paraId="5E76D946">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查询场景可命中目标时间分区、设备时间索引或空间索引。</w:t>
            </w:r>
          </w:p>
        </w:tc>
        <w:tc>
          <w:tcPr>
            <w:tcW w:w="3685" w:type="dxa"/>
            <w:vAlign w:val="center"/>
          </w:tcPr>
          <w:p w14:paraId="5C632C31">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当前分区、索引和空间字段设计总体合理。</w:t>
            </w:r>
          </w:p>
        </w:tc>
      </w:tr>
    </w:tbl>
    <w:p w14:paraId="7AD18CF5">
      <w:pPr>
        <w:pStyle w:val="3"/>
        <w:keepNext/>
        <w:keepLines/>
        <w:pageBreakBefore w:val="0"/>
        <w:widowControl/>
        <w:numPr>
          <w:ilvl w:val="0"/>
          <w:numId w:val="7"/>
        </w:numPr>
        <w:kinsoku/>
        <w:wordWrap/>
        <w:overflowPunct/>
        <w:topLinePunct w:val="0"/>
        <w:autoSpaceDE/>
        <w:autoSpaceDN/>
        <w:bidi w:val="0"/>
        <w:adjustRightInd/>
        <w:snapToGrid w:val="0"/>
        <w:spacing w:before="240" w:after="240" w:line="240" w:lineRule="auto"/>
        <w:textAlignment w:val="auto"/>
        <w:rPr>
          <w:rFonts w:hint="default" w:ascii="Consolas" w:hAnsi="Consolas" w:eastAsia="宋体" w:cs="Consolas"/>
          <w:color w:val="auto"/>
        </w:rPr>
      </w:pPr>
      <w:r>
        <w:rPr>
          <w:rFonts w:hint="default" w:ascii="Consolas" w:hAnsi="Consolas" w:eastAsia="宋体" w:cs="Consolas"/>
          <w:color w:val="auto"/>
        </w:rPr>
        <w:t>风险与约束</w:t>
      </w:r>
    </w:p>
    <w:p w14:paraId="40DC8284">
      <w:pPr>
        <w:pStyle w:val="16"/>
        <w:keepNext w:val="0"/>
        <w:keepLines w:val="0"/>
        <w:pageBreakBefore w:val="0"/>
        <w:widowControl/>
        <w:numPr>
          <w:ilvl w:val="0"/>
          <w:numId w:val="9"/>
        </w:numPr>
        <w:kinsoku/>
        <w:wordWrap/>
        <w:overflowPunct/>
        <w:topLinePunct w:val="0"/>
        <w:autoSpaceDE/>
        <w:autoSpaceDN/>
        <w:bidi w:val="0"/>
        <w:adjustRightInd/>
        <w:snapToGrid w:val="0"/>
        <w:spacing w:after="0" w:line="360" w:lineRule="auto"/>
        <w:ind w:left="0" w:leftChars="0" w:firstLine="0" w:firstLineChars="0"/>
        <w:textAlignment w:val="auto"/>
        <w:rPr>
          <w:rFonts w:hint="default" w:ascii="Consolas" w:hAnsi="Consolas" w:eastAsia="宋体" w:cs="Consolas"/>
          <w:color w:val="auto"/>
        </w:rPr>
      </w:pPr>
      <w:r>
        <w:rPr>
          <w:rFonts w:hint="default" w:ascii="Consolas" w:hAnsi="Consolas" w:eastAsia="宋体" w:cs="Consolas"/>
          <w:color w:val="auto"/>
        </w:rPr>
        <w:t>本次结论基于 14 核 CPU、32GB 内存、1TB 硬盘的单机测试环境，反映当前硬件条件下的模型合理性和性能摸底结果，不代表正式生产环境性能上限。</w:t>
      </w:r>
    </w:p>
    <w:p w14:paraId="026A1AF9">
      <w:pPr>
        <w:pStyle w:val="16"/>
        <w:keepNext w:val="0"/>
        <w:keepLines w:val="0"/>
        <w:pageBreakBefore w:val="0"/>
        <w:widowControl/>
        <w:numPr>
          <w:ilvl w:val="0"/>
          <w:numId w:val="9"/>
        </w:numPr>
        <w:kinsoku/>
        <w:wordWrap/>
        <w:overflowPunct/>
        <w:topLinePunct w:val="0"/>
        <w:autoSpaceDE/>
        <w:autoSpaceDN/>
        <w:bidi w:val="0"/>
        <w:adjustRightInd/>
        <w:snapToGrid w:val="0"/>
        <w:spacing w:after="0" w:line="360" w:lineRule="auto"/>
        <w:ind w:left="0" w:leftChars="0" w:firstLine="0" w:firstLineChars="0"/>
        <w:textAlignment w:val="auto"/>
        <w:rPr>
          <w:rFonts w:hint="default" w:ascii="Consolas" w:hAnsi="Consolas" w:eastAsia="宋体" w:cs="Consolas"/>
          <w:color w:val="auto"/>
        </w:rPr>
      </w:pPr>
      <w:r>
        <w:rPr>
          <w:rFonts w:hint="default" w:ascii="Consolas" w:hAnsi="Consolas" w:eastAsia="宋体" w:cs="Consolas"/>
          <w:color w:val="auto"/>
        </w:rPr>
        <w:t>大气电场属于高频数据，实际数据量高度依赖设备数量、上传频率和补传策略，生产部署前需结合真实设备清单重新评估。</w:t>
      </w:r>
    </w:p>
    <w:p w14:paraId="265BA89A">
      <w:pPr>
        <w:pStyle w:val="16"/>
        <w:keepNext w:val="0"/>
        <w:keepLines w:val="0"/>
        <w:pageBreakBefore w:val="0"/>
        <w:widowControl/>
        <w:numPr>
          <w:ilvl w:val="0"/>
          <w:numId w:val="9"/>
        </w:numPr>
        <w:kinsoku/>
        <w:wordWrap/>
        <w:overflowPunct/>
        <w:topLinePunct w:val="0"/>
        <w:autoSpaceDE/>
        <w:autoSpaceDN/>
        <w:bidi w:val="0"/>
        <w:adjustRightInd/>
        <w:snapToGrid w:val="0"/>
        <w:spacing w:after="0" w:line="360" w:lineRule="auto"/>
        <w:ind w:left="0" w:leftChars="0" w:firstLine="0" w:firstLineChars="0"/>
        <w:textAlignment w:val="auto"/>
        <w:rPr>
          <w:rFonts w:hint="default" w:ascii="Consolas" w:hAnsi="Consolas" w:eastAsia="宋体" w:cs="Consolas"/>
          <w:color w:val="auto"/>
        </w:rPr>
      </w:pPr>
      <w:r>
        <w:rPr>
          <w:rFonts w:hint="default" w:ascii="Consolas" w:hAnsi="Consolas" w:eastAsia="宋体" w:cs="Consolas"/>
          <w:color w:val="auto"/>
        </w:rPr>
        <w:t>PERF-05 属于大结果集曲线查询，单次返回数据量受查询窗口、并发参数和 API 返回策略影响；正式业务建议支持降采样、分段加载或按时间粒度聚合。</w:t>
      </w:r>
    </w:p>
    <w:p w14:paraId="308007BE">
      <w:pPr>
        <w:pStyle w:val="16"/>
        <w:keepNext w:val="0"/>
        <w:keepLines w:val="0"/>
        <w:pageBreakBefore w:val="0"/>
        <w:widowControl/>
        <w:numPr>
          <w:ilvl w:val="0"/>
          <w:numId w:val="9"/>
        </w:numPr>
        <w:kinsoku/>
        <w:wordWrap/>
        <w:overflowPunct/>
        <w:topLinePunct w:val="0"/>
        <w:autoSpaceDE/>
        <w:autoSpaceDN/>
        <w:bidi w:val="0"/>
        <w:adjustRightInd/>
        <w:snapToGrid w:val="0"/>
        <w:spacing w:after="0" w:line="360" w:lineRule="auto"/>
        <w:ind w:left="0" w:leftChars="0" w:firstLine="0" w:firstLineChars="0"/>
        <w:textAlignment w:val="auto"/>
        <w:rPr>
          <w:rFonts w:hint="default" w:ascii="Consolas" w:hAnsi="Consolas" w:eastAsia="宋体" w:cs="Consolas"/>
          <w:color w:val="auto"/>
        </w:rPr>
      </w:pPr>
      <w:r>
        <w:rPr>
          <w:rFonts w:hint="default" w:ascii="Consolas" w:hAnsi="Consolas" w:eastAsia="宋体" w:cs="Consolas"/>
          <w:color w:val="auto"/>
        </w:rPr>
        <w:t>随着矿区数量、雷击数据规模或统计半径增加，需持续复核空间索引效果和统计查询执行计划。</w:t>
      </w:r>
    </w:p>
    <w:p w14:paraId="1A098BBF">
      <w:pPr>
        <w:pStyle w:val="16"/>
        <w:keepNext w:val="0"/>
        <w:keepLines w:val="0"/>
        <w:pageBreakBefore w:val="0"/>
        <w:widowControl/>
        <w:numPr>
          <w:ilvl w:val="0"/>
          <w:numId w:val="9"/>
        </w:numPr>
        <w:kinsoku/>
        <w:wordWrap/>
        <w:overflowPunct/>
        <w:topLinePunct w:val="0"/>
        <w:autoSpaceDE/>
        <w:autoSpaceDN/>
        <w:bidi w:val="0"/>
        <w:adjustRightInd/>
        <w:snapToGrid w:val="0"/>
        <w:spacing w:after="0" w:line="360" w:lineRule="auto"/>
        <w:ind w:left="0" w:leftChars="0" w:firstLine="0" w:firstLineChars="0"/>
        <w:textAlignment w:val="auto"/>
        <w:rPr>
          <w:rFonts w:hint="default" w:ascii="Consolas" w:hAnsi="Consolas" w:eastAsia="宋体" w:cs="Consolas"/>
          <w:color w:val="auto"/>
        </w:rPr>
      </w:pPr>
      <w:r>
        <w:rPr>
          <w:rFonts w:hint="default" w:ascii="Consolas" w:hAnsi="Consolas" w:eastAsia="宋体" w:cs="Consolas"/>
          <w:color w:val="auto"/>
        </w:rPr>
        <w:t>长期运行后需建立分区创建、历史分区归档、索引维护、统计信息更新和异常报文清理机制。</w:t>
      </w:r>
    </w:p>
    <w:p w14:paraId="268691DF">
      <w:pPr>
        <w:pStyle w:val="3"/>
        <w:keepNext/>
        <w:keepLines/>
        <w:pageBreakBefore w:val="0"/>
        <w:widowControl/>
        <w:numPr>
          <w:ilvl w:val="0"/>
          <w:numId w:val="7"/>
        </w:numPr>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rPr>
      </w:pPr>
      <w:r>
        <w:rPr>
          <w:rFonts w:hint="default" w:ascii="Consolas" w:hAnsi="Consolas" w:eastAsia="宋体" w:cs="Consolas"/>
          <w:color w:val="auto"/>
        </w:rPr>
        <w:t>评审结论</w:t>
      </w:r>
    </w:p>
    <w:p w14:paraId="043F237B">
      <w:pPr>
        <w:keepNext w:val="0"/>
        <w:keepLines w:val="0"/>
        <w:pageBreakBefore w:val="0"/>
        <w:widowControl/>
        <w:kinsoku/>
        <w:wordWrap/>
        <w:overflowPunct/>
        <w:topLinePunct w:val="0"/>
        <w:autoSpaceDE/>
        <w:autoSpaceDN/>
        <w:bidi w:val="0"/>
        <w:adjustRightInd/>
        <w:snapToGrid w:val="0"/>
        <w:spacing w:after="0" w:line="360" w:lineRule="auto"/>
        <w:ind w:firstLine="420" w:firstLineChars="200"/>
        <w:textAlignment w:val="auto"/>
        <w:rPr>
          <w:rFonts w:hint="default" w:ascii="Consolas" w:hAnsi="Consolas" w:eastAsia="宋体" w:cs="Consolas"/>
          <w:color w:val="auto"/>
        </w:rPr>
      </w:pPr>
      <w:r>
        <w:rPr>
          <w:rFonts w:hint="default" w:ascii="Consolas" w:hAnsi="Consolas" w:eastAsia="宋体" w:cs="Consolas"/>
          <w:color w:val="auto"/>
        </w:rPr>
        <w:t>综合模型设计和 S0-S4 阶段性能验证结果，当前雷电监测平台数据模型能够支撑</w:t>
      </w:r>
      <w:r>
        <w:rPr>
          <w:rFonts w:hint="eastAsia" w:ascii="Consolas" w:hAnsi="Consolas" w:cs="Consolas"/>
          <w:color w:val="auto"/>
          <w:lang w:val="en-US" w:eastAsia="zh-CN"/>
        </w:rPr>
        <w:t>系统</w:t>
      </w:r>
      <w:r>
        <w:rPr>
          <w:rFonts w:hint="default" w:ascii="Consolas" w:hAnsi="Consolas" w:eastAsia="宋体" w:cs="Consolas"/>
          <w:color w:val="auto"/>
        </w:rPr>
        <w:t>数据接入、标准化存储、雷暴过程分析、空间范围统计、预警联动和业务查询需求。</w:t>
      </w:r>
    </w:p>
    <w:p w14:paraId="2174B739">
      <w:pPr>
        <w:keepNext w:val="0"/>
        <w:keepLines w:val="0"/>
        <w:pageBreakBefore w:val="0"/>
        <w:widowControl/>
        <w:kinsoku/>
        <w:wordWrap/>
        <w:overflowPunct/>
        <w:topLinePunct w:val="0"/>
        <w:autoSpaceDE/>
        <w:autoSpaceDN/>
        <w:bidi w:val="0"/>
        <w:adjustRightInd/>
        <w:snapToGrid w:val="0"/>
        <w:spacing w:after="0" w:line="360" w:lineRule="auto"/>
        <w:ind w:firstLine="420" w:firstLineChars="200"/>
        <w:textAlignment w:val="auto"/>
        <w:rPr>
          <w:rFonts w:hint="default" w:ascii="Consolas" w:hAnsi="Consolas" w:eastAsia="宋体" w:cs="Consolas"/>
          <w:color w:val="auto"/>
        </w:rPr>
      </w:pPr>
      <w:r>
        <w:rPr>
          <w:rFonts w:hint="default" w:ascii="Consolas" w:hAnsi="Consolas" w:eastAsia="宋体" w:cs="Consolas"/>
          <w:color w:val="auto"/>
        </w:rPr>
        <w:t>时间分区、设备时间索引、雷击空间字段、50km 统计口径和原始报文去重设计总体合理；在推荐存量规模约 1.17 亿条数据下，核心数据库查询未出现因模型设计导致的系统性性能瓶颈。该模型可作为后续开发、联调和扩展建设的数据库模型基础。</w:t>
      </w:r>
    </w:p>
    <w:p w14:paraId="5856254C">
      <w:pPr>
        <w:pStyle w:val="3"/>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rPr>
      </w:pPr>
      <w:r>
        <w:rPr>
          <w:rFonts w:hint="default" w:ascii="Consolas" w:hAnsi="Consolas" w:eastAsia="宋体" w:cs="Consolas"/>
          <w:color w:val="auto"/>
        </w:rPr>
        <w:t>附录 A：交付与维护建议</w:t>
      </w:r>
    </w:p>
    <w:p w14:paraId="021EE7FF">
      <w:pPr>
        <w:pStyle w:val="16"/>
        <w:keepNext w:val="0"/>
        <w:keepLines w:val="0"/>
        <w:pageBreakBefore w:val="0"/>
        <w:widowControl/>
        <w:numPr>
          <w:ilvl w:val="0"/>
          <w:numId w:val="10"/>
        </w:numPr>
        <w:kinsoku/>
        <w:wordWrap/>
        <w:overflowPunct/>
        <w:topLinePunct w:val="0"/>
        <w:autoSpaceDE/>
        <w:autoSpaceDN/>
        <w:bidi w:val="0"/>
        <w:adjustRightInd/>
        <w:snapToGrid w:val="0"/>
        <w:spacing w:after="0" w:line="360" w:lineRule="auto"/>
        <w:ind w:left="420" w:leftChars="0" w:hanging="420" w:firstLineChars="0"/>
        <w:textAlignment w:val="auto"/>
        <w:rPr>
          <w:rFonts w:hint="default" w:ascii="Consolas" w:hAnsi="Consolas" w:eastAsia="宋体" w:cs="Consolas"/>
          <w:color w:val="auto"/>
        </w:rPr>
      </w:pPr>
      <w:r>
        <w:rPr>
          <w:rFonts w:hint="default" w:ascii="Consolas" w:hAnsi="Consolas" w:eastAsia="宋体" w:cs="Consolas"/>
          <w:color w:val="auto"/>
        </w:rPr>
        <w:t>性能复测时应优先保证压测端与数据库之间执行环境稳定，特别是大结果集查询场景。</w:t>
      </w:r>
    </w:p>
    <w:p w14:paraId="69CCD8B0">
      <w:pPr>
        <w:pStyle w:val="16"/>
        <w:keepNext w:val="0"/>
        <w:keepLines w:val="0"/>
        <w:pageBreakBefore w:val="0"/>
        <w:widowControl/>
        <w:numPr>
          <w:ilvl w:val="0"/>
          <w:numId w:val="10"/>
        </w:numPr>
        <w:kinsoku/>
        <w:wordWrap/>
        <w:overflowPunct/>
        <w:topLinePunct w:val="0"/>
        <w:autoSpaceDE/>
        <w:autoSpaceDN/>
        <w:bidi w:val="0"/>
        <w:adjustRightInd/>
        <w:snapToGrid w:val="0"/>
        <w:spacing w:after="0" w:line="360" w:lineRule="auto"/>
        <w:ind w:left="420" w:leftChars="0" w:hanging="420" w:firstLineChars="0"/>
        <w:textAlignment w:val="auto"/>
        <w:rPr>
          <w:rFonts w:hint="default" w:ascii="Consolas" w:hAnsi="Consolas" w:eastAsia="宋体" w:cs="Consolas"/>
          <w:color w:val="auto"/>
        </w:rPr>
      </w:pPr>
      <w:r>
        <w:rPr>
          <w:rFonts w:hint="default" w:ascii="Consolas" w:hAnsi="Consolas" w:eastAsia="宋体" w:cs="Consolas"/>
          <w:color w:val="auto"/>
        </w:rPr>
        <w:t>生产部署前建议基于真实设备数量、上传频率和保留周期重新进行容量估算。</w:t>
      </w: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华文新魏">
    <w:panose1 w:val="02010800040101010101"/>
    <w:charset w:val="86"/>
    <w:family w:val="auto"/>
    <w:pitch w:val="default"/>
    <w:sig w:usb0="00000001" w:usb1="080F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Microsoft JhengHei U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方正兰亭大黑简体">
    <w:panose1 w:val="02000000000000000000"/>
    <w:charset w:val="86"/>
    <w:family w:val="auto"/>
    <w:pitch w:val="default"/>
    <w:sig w:usb0="A00002BF" w:usb1="184F6CFA" w:usb2="00000012" w:usb3="00000000" w:csb0="00040001" w:csb1="00000000"/>
  </w:font>
  <w:font w:name="方正书宋简体">
    <w:panose1 w:val="02000000000000000000"/>
    <w:charset w:val="86"/>
    <w:family w:val="auto"/>
    <w:pitch w:val="default"/>
    <w:sig w:usb0="A00002BF" w:usb1="184F6CFA" w:usb2="00000012" w:usb3="00000000" w:csb0="00040001"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5F4A2"/>
    <w:multiLevelType w:val="singleLevel"/>
    <w:tmpl w:val="81C5F4A2"/>
    <w:lvl w:ilvl="0" w:tentative="0">
      <w:start w:val="1"/>
      <w:numFmt w:val="bullet"/>
      <w:lvlText w:val=""/>
      <w:lvlJc w:val="left"/>
      <w:pPr>
        <w:ind w:left="420" w:hanging="420"/>
      </w:pPr>
      <w:rPr>
        <w:rFonts w:hint="default" w:ascii="Wingdings" w:hAnsi="Wingdings"/>
      </w:rPr>
    </w:lvl>
  </w:abstractNum>
  <w:abstractNum w:abstractNumId="1">
    <w:nsid w:val="F6D324C1"/>
    <w:multiLevelType w:val="singleLevel"/>
    <w:tmpl w:val="F6D324C1"/>
    <w:lvl w:ilvl="0" w:tentative="0">
      <w:start w:val="1"/>
      <w:numFmt w:val="decimal"/>
      <w:suff w:val="nothing"/>
      <w:lvlText w:val="%1、"/>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1C26F947"/>
    <w:multiLevelType w:val="singleLevel"/>
    <w:tmpl w:val="1C26F947"/>
    <w:lvl w:ilvl="0" w:tentative="0">
      <w:start w:val="1"/>
      <w:numFmt w:val="decimal"/>
      <w:lvlText w:val="%1)"/>
      <w:lvlJc w:val="left"/>
      <w:pPr>
        <w:ind w:left="425" w:hanging="425"/>
      </w:pPr>
      <w:rPr>
        <w:rFonts w:hint="default"/>
      </w:rPr>
    </w:lvl>
  </w:abstractNum>
  <w:abstractNum w:abstractNumId="9">
    <w:nsid w:val="6B3C3BE0"/>
    <w:multiLevelType w:val="singleLevel"/>
    <w:tmpl w:val="6B3C3BE0"/>
    <w:lvl w:ilvl="0" w:tentative="0">
      <w:start w:val="1"/>
      <w:numFmt w:val="decimal"/>
      <w:lvlText w:val="%1)"/>
      <w:lvlJc w:val="left"/>
      <w:pPr>
        <w:ind w:left="425" w:hanging="425"/>
      </w:pPr>
      <w:rPr>
        <w:rFonts w:hint="default"/>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9"/>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37981"/>
    <w:rsid w:val="00AA1D8D"/>
    <w:rsid w:val="00B47730"/>
    <w:rsid w:val="00CB0664"/>
    <w:rsid w:val="00FC693F"/>
    <w:rsid w:val="064055CE"/>
    <w:rsid w:val="07A73C1C"/>
    <w:rsid w:val="09B55290"/>
    <w:rsid w:val="0A611896"/>
    <w:rsid w:val="0ADC375E"/>
    <w:rsid w:val="11386E78"/>
    <w:rsid w:val="116616FE"/>
    <w:rsid w:val="12FB6C31"/>
    <w:rsid w:val="145B2071"/>
    <w:rsid w:val="17124B68"/>
    <w:rsid w:val="192D0F3C"/>
    <w:rsid w:val="1E541A70"/>
    <w:rsid w:val="222D671F"/>
    <w:rsid w:val="23EC0C7E"/>
    <w:rsid w:val="2B471FB3"/>
    <w:rsid w:val="2CA12446"/>
    <w:rsid w:val="309410C2"/>
    <w:rsid w:val="30C43E10"/>
    <w:rsid w:val="342B7074"/>
    <w:rsid w:val="34EC597A"/>
    <w:rsid w:val="36F210B1"/>
    <w:rsid w:val="37034BCF"/>
    <w:rsid w:val="38895CD0"/>
    <w:rsid w:val="38DA69D3"/>
    <w:rsid w:val="3C0C3393"/>
    <w:rsid w:val="3CCB035F"/>
    <w:rsid w:val="3DC34C62"/>
    <w:rsid w:val="3E8527A2"/>
    <w:rsid w:val="3EAE40E4"/>
    <w:rsid w:val="3FF83425"/>
    <w:rsid w:val="41A01FE6"/>
    <w:rsid w:val="42D462B4"/>
    <w:rsid w:val="4388269E"/>
    <w:rsid w:val="44834CF6"/>
    <w:rsid w:val="46081DC4"/>
    <w:rsid w:val="46F337F6"/>
    <w:rsid w:val="4A5D250E"/>
    <w:rsid w:val="4B3969F9"/>
    <w:rsid w:val="4D950505"/>
    <w:rsid w:val="503512D2"/>
    <w:rsid w:val="521B4A42"/>
    <w:rsid w:val="52E84768"/>
    <w:rsid w:val="52F11223"/>
    <w:rsid w:val="554F4585"/>
    <w:rsid w:val="568C3F8D"/>
    <w:rsid w:val="575304D2"/>
    <w:rsid w:val="58BF0A29"/>
    <w:rsid w:val="594D5D0E"/>
    <w:rsid w:val="5E045D4D"/>
    <w:rsid w:val="5EA24952"/>
    <w:rsid w:val="5EF06C4F"/>
    <w:rsid w:val="63436BE9"/>
    <w:rsid w:val="63A01501"/>
    <w:rsid w:val="64511F6B"/>
    <w:rsid w:val="64CE4172"/>
    <w:rsid w:val="65A11F4C"/>
    <w:rsid w:val="692F6BCC"/>
    <w:rsid w:val="6A516D7C"/>
    <w:rsid w:val="6BFB1336"/>
    <w:rsid w:val="6DF62C90"/>
    <w:rsid w:val="7278765C"/>
    <w:rsid w:val="749F4A62"/>
    <w:rsid w:val="75394C61"/>
    <w:rsid w:val="7A6D4269"/>
    <w:rsid w:val="7AFF37D8"/>
    <w:rsid w:val="7E1431CA"/>
    <w:rsid w:val="7F1808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61021</cp:lastModifiedBy>
  <dcterms:modified xsi:type="dcterms:W3CDTF">2026-06-16T01:27:35Z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69400E6119CF4D5783E1D0883AF719D0_12</vt:lpwstr>
  </property>
</Properties>
</file>