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2F733C">
      <w:pPr>
        <w:keepNext w:val="0"/>
        <w:keepLines w:val="0"/>
        <w:pageBreakBefore w:val="0"/>
        <w:widowControl/>
        <w:kinsoku/>
        <w:wordWrap/>
        <w:overflowPunct/>
        <w:topLinePunct w:val="0"/>
        <w:autoSpaceDE/>
        <w:autoSpaceDN/>
        <w:bidi w:val="0"/>
        <w:adjustRightInd/>
        <w:snapToGrid w:val="0"/>
        <w:spacing w:before="400" w:after="400" w:line="240" w:lineRule="auto"/>
        <w:jc w:val="center"/>
        <w:textAlignment w:val="auto"/>
        <w:rPr>
          <w:rFonts w:hint="default" w:ascii="Consolas" w:hAnsi="Consolas" w:eastAsia="宋体" w:cs="Consolas"/>
          <w:color w:val="auto"/>
        </w:rPr>
      </w:pPr>
      <w:r>
        <w:rPr>
          <w:rFonts w:hint="default" w:ascii="Consolas" w:hAnsi="Consolas" w:eastAsia="宋体" w:cs="Consolas"/>
          <w:b/>
          <w:color w:val="auto"/>
          <w:sz w:val="44"/>
        </w:rPr>
        <w:t>雷电</w:t>
      </w:r>
      <w:r>
        <w:rPr>
          <w:rFonts w:hint="default" w:ascii="Consolas" w:hAnsi="Consolas" w:cs="Consolas"/>
          <w:b/>
          <w:color w:val="auto"/>
          <w:sz w:val="44"/>
          <w:lang w:val="en-US" w:eastAsia="zh-CN"/>
        </w:rPr>
        <w:t>系统</w:t>
      </w:r>
      <w:r>
        <w:rPr>
          <w:rFonts w:hint="default" w:ascii="Consolas" w:hAnsi="Consolas" w:eastAsia="宋体" w:cs="Consolas"/>
          <w:b/>
          <w:color w:val="auto"/>
          <w:sz w:val="44"/>
        </w:rPr>
        <w:t>数据模型设计说明</w:t>
      </w:r>
    </w:p>
    <w:p w14:paraId="0386713E">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文档目标与范围</w:t>
      </w:r>
    </w:p>
    <w:p w14:paraId="69243192">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本文档用于固化雷电监测平台 M1 阶段数据模型设计，说明平台围绕雷电监测、大气电场、雷暴过程、预警联动、原始报文和低频设备数据建立的主题域、实体关系、指标口径、时间空间建模方式及分区索引策略。</w:t>
      </w:r>
    </w:p>
    <w:p w14:paraId="435423FB">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文档同时结合S0-S4 阶段性能测试结果，对当前模型设计的合理性进行说明。测试结果表明，在当前单机硬件条件和测试数据规模下，核心写入、分页查询、雷暴过程曲线查询和 50km 雷击统计查询均具备可接受性能。</w:t>
      </w:r>
    </w:p>
    <w:p w14:paraId="07CFC3C2">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总体建模原则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22D6D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BEBEBE" w:themeFill="background1" w:themeFillShade="BF"/>
            <w:vAlign w:val="center"/>
          </w:tcPr>
          <w:p w14:paraId="3083ACE5">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color w:val="auto"/>
                <w:sz w:val="20"/>
              </w:rPr>
              <w:t>原则</w:t>
            </w:r>
          </w:p>
        </w:tc>
        <w:tc>
          <w:tcPr>
            <w:tcW w:w="7257" w:type="dxa"/>
            <w:shd w:val="clear" w:color="auto" w:fill="BEBEBE" w:themeFill="background1" w:themeFillShade="BF"/>
            <w:vAlign w:val="center"/>
          </w:tcPr>
          <w:p w14:paraId="1E5C54B5">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color w:val="auto"/>
                <w:sz w:val="20"/>
              </w:rPr>
              <w:t>设计说明</w:t>
            </w:r>
          </w:p>
        </w:tc>
      </w:tr>
      <w:tr w14:paraId="09604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E8E1A08">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按业务主题域建模</w:t>
            </w:r>
          </w:p>
        </w:tc>
        <w:tc>
          <w:tcPr>
            <w:tcW w:w="7257" w:type="dxa"/>
            <w:vAlign w:val="center"/>
          </w:tcPr>
          <w:p w14:paraId="143FA11B">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围绕矿区、设备、原始接入、标准数据、业务事件、雷暴过程和联动处置划分主题域，避免数据职责混杂。</w:t>
            </w:r>
          </w:p>
        </w:tc>
      </w:tr>
      <w:tr w14:paraId="423BB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945CD24">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时间优先</w:t>
            </w:r>
          </w:p>
        </w:tc>
        <w:tc>
          <w:tcPr>
            <w:tcW w:w="7257" w:type="dxa"/>
            <w:vAlign w:val="center"/>
          </w:tcPr>
          <w:p w14:paraId="37972A2E">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高频时序数据以设备上传时间作为分区、过滤和过程窗口分析的核心时间口径。</w:t>
            </w:r>
          </w:p>
        </w:tc>
      </w:tr>
      <w:tr w14:paraId="4546A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78C8DE">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空间统一</w:t>
            </w:r>
          </w:p>
        </w:tc>
        <w:tc>
          <w:tcPr>
            <w:tcW w:w="7257" w:type="dxa"/>
            <w:vAlign w:val="center"/>
          </w:tcPr>
          <w:p w14:paraId="46336AD0">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雷击类数据统一生成空间点对象，空间统计统一基于雷击点与矿区调度室坐标计算。</w:t>
            </w:r>
          </w:p>
        </w:tc>
      </w:tr>
      <w:tr w14:paraId="72BF8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2ED2DFF">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原始可追溯</w:t>
            </w:r>
          </w:p>
        </w:tc>
        <w:tc>
          <w:tcPr>
            <w:tcW w:w="7257" w:type="dxa"/>
            <w:vAlign w:val="center"/>
          </w:tcPr>
          <w:p w14:paraId="52DBEE73">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原始报文保留 topic、partition、offset 等去重与追溯能力，支撑接入质量核验。</w:t>
            </w:r>
          </w:p>
        </w:tc>
      </w:tr>
      <w:tr w14:paraId="0ED67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9BD6F9C">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标准与业务分层</w:t>
            </w:r>
          </w:p>
        </w:tc>
        <w:tc>
          <w:tcPr>
            <w:tcW w:w="7257" w:type="dxa"/>
            <w:vAlign w:val="center"/>
          </w:tcPr>
          <w:p w14:paraId="4A8BD35A">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标准数据用于接入后规范化存储，业务事件用于业务查询、展示和统计分析，二者保持可追溯关系。</w:t>
            </w:r>
          </w:p>
        </w:tc>
      </w:tr>
      <w:tr w14:paraId="7E14ED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3CDE640">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过程闭环</w:t>
            </w:r>
          </w:p>
        </w:tc>
        <w:tc>
          <w:tcPr>
            <w:tcW w:w="7257" w:type="dxa"/>
            <w:vAlign w:val="center"/>
          </w:tcPr>
          <w:p w14:paraId="3492E90C">
            <w:pPr>
              <w:keepNext w:val="0"/>
              <w:keepLines w:val="0"/>
              <w:pageBreakBefore w:val="0"/>
              <w:widowControl/>
              <w:kinsoku/>
              <w:wordWrap/>
              <w:overflowPunct/>
              <w:topLinePunct w:val="0"/>
              <w:autoSpaceDE/>
              <w:autoSpaceDN/>
              <w:bidi w:val="0"/>
              <w:adjustRightInd/>
              <w:snapToGrid w:val="0"/>
              <w:spacing w:before="120" w:after="120" w:line="240" w:lineRule="auto"/>
              <w:jc w:val="both"/>
              <w:textAlignment w:val="auto"/>
              <w:rPr>
                <w:rFonts w:hint="default" w:ascii="Consolas" w:hAnsi="Consolas" w:eastAsia="宋体" w:cs="Consolas"/>
                <w:color w:val="auto"/>
              </w:rPr>
            </w:pPr>
            <w:r>
              <w:rPr>
                <w:rFonts w:hint="default" w:ascii="Consolas" w:hAnsi="Consolas" w:eastAsia="宋体" w:cs="Consolas"/>
                <w:b w:val="0"/>
                <w:color w:val="auto"/>
                <w:sz w:val="20"/>
              </w:rPr>
              <w:t>雷暴过程作为预警、通知、巡检、隐患和维修等业务闭环的关联主线。</w:t>
            </w:r>
          </w:p>
        </w:tc>
      </w:tr>
    </w:tbl>
    <w:p w14:paraId="3F35FDD6">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主题域划分</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4"/>
        <w:gridCol w:w="2835"/>
        <w:gridCol w:w="4762"/>
      </w:tblGrid>
      <w:tr w14:paraId="3D4849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shd w:val="clear" w:color="auto" w:fill="BEBEBE" w:themeFill="background1" w:themeFillShade="BF"/>
            <w:vAlign w:val="center"/>
          </w:tcPr>
          <w:p w14:paraId="71E5B9A8">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主题域</w:t>
            </w:r>
          </w:p>
        </w:tc>
        <w:tc>
          <w:tcPr>
            <w:tcW w:w="2835" w:type="dxa"/>
            <w:shd w:val="clear" w:color="auto" w:fill="BEBEBE" w:themeFill="background1" w:themeFillShade="BF"/>
            <w:vAlign w:val="center"/>
          </w:tcPr>
          <w:p w14:paraId="04CCF4A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核心对象</w:t>
            </w:r>
          </w:p>
        </w:tc>
        <w:tc>
          <w:tcPr>
            <w:tcW w:w="4762" w:type="dxa"/>
            <w:shd w:val="clear" w:color="auto" w:fill="BEBEBE" w:themeFill="background1" w:themeFillShade="BF"/>
            <w:vAlign w:val="center"/>
          </w:tcPr>
          <w:p w14:paraId="2CFCAC5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说明</w:t>
            </w:r>
          </w:p>
        </w:tc>
      </w:tr>
      <w:tr w14:paraId="031B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14A20C3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基础资源域</w:t>
            </w:r>
          </w:p>
        </w:tc>
        <w:tc>
          <w:tcPr>
            <w:tcW w:w="2835" w:type="dxa"/>
            <w:vAlign w:val="center"/>
          </w:tcPr>
          <w:p w14:paraId="6B69114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矿区、调度室坐标、设备基础信息</w:t>
            </w:r>
          </w:p>
        </w:tc>
        <w:tc>
          <w:tcPr>
            <w:tcW w:w="4762" w:type="dxa"/>
            <w:vAlign w:val="center"/>
          </w:tcPr>
          <w:p w14:paraId="6F2432BC">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提供业务归属、设备识别和空间分析基准。</w:t>
            </w:r>
          </w:p>
        </w:tc>
      </w:tr>
      <w:tr w14:paraId="62A38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2AE34FB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原始接入域</w:t>
            </w:r>
          </w:p>
        </w:tc>
        <w:tc>
          <w:tcPr>
            <w:tcW w:w="2835" w:type="dxa"/>
            <w:vAlign w:val="center"/>
          </w:tcPr>
          <w:p w14:paraId="7240350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 Kafka/报文数据、接入日志、去重标识</w:t>
            </w:r>
          </w:p>
        </w:tc>
        <w:tc>
          <w:tcPr>
            <w:tcW w:w="4762" w:type="dxa"/>
            <w:vAlign w:val="center"/>
          </w:tcPr>
          <w:p w14:paraId="6BDECD9F">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保留接入原貌和追溯依据，支持重复报文过滤和接入质量分析。</w:t>
            </w:r>
          </w:p>
        </w:tc>
      </w:tr>
      <w:tr w14:paraId="5AA68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386A13E">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标准数据域</w:t>
            </w:r>
          </w:p>
        </w:tc>
        <w:tc>
          <w:tcPr>
            <w:tcW w:w="2835" w:type="dxa"/>
            <w:vAlign w:val="center"/>
          </w:tcPr>
          <w:p w14:paraId="27380B0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大气电场、雷击大网、小网及低频设备标准数据</w:t>
            </w:r>
          </w:p>
        </w:tc>
        <w:tc>
          <w:tcPr>
            <w:tcW w:w="4762" w:type="dxa"/>
            <w:vAlign w:val="center"/>
          </w:tcPr>
          <w:p w14:paraId="591D3E3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承接清洗、标准化后的设备与雷电监测数据。</w:t>
            </w:r>
          </w:p>
        </w:tc>
      </w:tr>
      <w:tr w14:paraId="2807A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3F28ED5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业务事件域</w:t>
            </w:r>
          </w:p>
        </w:tc>
        <w:tc>
          <w:tcPr>
            <w:tcW w:w="2835" w:type="dxa"/>
            <w:vAlign w:val="center"/>
          </w:tcPr>
          <w:p w14:paraId="681ACF8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大气电场业务事件、雷击业务事件、设备告警事件</w:t>
            </w:r>
          </w:p>
        </w:tc>
        <w:tc>
          <w:tcPr>
            <w:tcW w:w="4762" w:type="dxa"/>
            <w:vAlign w:val="center"/>
          </w:tcPr>
          <w:p w14:paraId="7FE7199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面向业务查询、页面展示和统计分析。</w:t>
            </w:r>
          </w:p>
        </w:tc>
      </w:tr>
      <w:tr w14:paraId="7D981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61CB5ACD">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雷暴过程域</w:t>
            </w:r>
          </w:p>
        </w:tc>
        <w:tc>
          <w:tcPr>
            <w:tcW w:w="2835" w:type="dxa"/>
            <w:vAlign w:val="center"/>
          </w:tcPr>
          <w:p w14:paraId="59C7D853">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雷暴过程、过程窗口、预警信息</w:t>
            </w:r>
          </w:p>
        </w:tc>
        <w:tc>
          <w:tcPr>
            <w:tcW w:w="4762" w:type="dxa"/>
            <w:vAlign w:val="center"/>
          </w:tcPr>
          <w:p w14:paraId="5D373A4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以矿区和时间窗口组织雷暴过程，不维护动态中心点。</w:t>
            </w:r>
          </w:p>
        </w:tc>
      </w:tr>
      <w:tr w14:paraId="0EDF7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238015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联动处置域</w:t>
            </w:r>
          </w:p>
        </w:tc>
        <w:tc>
          <w:tcPr>
            <w:tcW w:w="2835" w:type="dxa"/>
            <w:vAlign w:val="center"/>
          </w:tcPr>
          <w:p w14:paraId="53D1839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通知、巡检、隐患、维修等处置数据</w:t>
            </w:r>
          </w:p>
        </w:tc>
        <w:tc>
          <w:tcPr>
            <w:tcW w:w="4762" w:type="dxa"/>
            <w:vAlign w:val="center"/>
          </w:tcPr>
          <w:p w14:paraId="2A86F17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围绕雷暴过程形成闭环记录。</w:t>
            </w:r>
          </w:p>
        </w:tc>
      </w:tr>
      <w:tr w14:paraId="1A9B4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74" w:type="dxa"/>
            <w:vAlign w:val="center"/>
          </w:tcPr>
          <w:p w14:paraId="5E99157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统计分析域</w:t>
            </w:r>
          </w:p>
        </w:tc>
        <w:tc>
          <w:tcPr>
            <w:tcW w:w="2835" w:type="dxa"/>
            <w:vAlign w:val="center"/>
          </w:tcPr>
          <w:p w14:paraId="212D9F2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分页查询、过程曲线、50km 雷击统计和分布统计</w:t>
            </w:r>
          </w:p>
        </w:tc>
        <w:tc>
          <w:tcPr>
            <w:tcW w:w="4762" w:type="dxa"/>
            <w:vAlign w:val="center"/>
          </w:tcPr>
          <w:p w14:paraId="680D8F6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支撑平台核心查询场景和性能验证场景。</w:t>
            </w:r>
          </w:p>
        </w:tc>
      </w:tr>
    </w:tbl>
    <w:p w14:paraId="4CEE9231">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核心实体关系</w:t>
      </w:r>
    </w:p>
    <w:p w14:paraId="6E6221EE">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矿区是业务和空间分析的基础对象，设备、雷暴过程、预警与处置记录均可归属到矿区。</w:t>
      </w:r>
    </w:p>
    <w:p w14:paraId="60262A7E">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雷暴过程以矿区和过程时间窗口为主线，关联预警信息、通知事件、巡检任务、隐患记录和维修工单。</w:t>
      </w:r>
    </w:p>
    <w:p w14:paraId="00E2BA56">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大气电场标准数据与业务事件数据按设备和上传时间形成追溯关系，用于分页查询和雷暴过程窗口曲线查询。</w:t>
      </w:r>
    </w:p>
    <w:p w14:paraId="6991355E">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雷击大网、小网数据入库后统一沉淀为雷击业务事件，业务统计优先基于统一后的业务事件表。</w:t>
      </w:r>
    </w:p>
    <w:p w14:paraId="0C9B07A1">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原始报文与标准数据之间保持追溯链路，原始报文通过 topic、partition、offset 保留唯一去重能力。</w:t>
      </w:r>
    </w:p>
    <w:p w14:paraId="6602EB04">
      <w:pPr>
        <w:pStyle w:val="16"/>
        <w:keepNext w:val="0"/>
        <w:keepLines w:val="0"/>
        <w:pageBreakBefore w:val="0"/>
        <w:widowControl/>
        <w:numPr>
          <w:ilvl w:val="0"/>
          <w:numId w:val="8"/>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低频设备数据按设备类型分别进入标准层和业务事件层，作为设备状态、告警和运维分析的补充数据。</w:t>
      </w:r>
    </w:p>
    <w:p w14:paraId="723F93DC">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时间与空间建模设计</w:t>
      </w:r>
    </w:p>
    <w:p w14:paraId="0CA401C4">
      <w:pPr>
        <w:pStyle w:val="4"/>
        <w:keepNext/>
        <w:keepLines/>
        <w:pageBreakBefore w:val="0"/>
        <w:widowControl/>
        <w:kinsoku/>
        <w:wordWrap/>
        <w:overflowPunct/>
        <w:topLinePunct w:val="0"/>
        <w:autoSpaceDE/>
        <w:autoSpaceDN/>
        <w:bidi w:val="0"/>
        <w:adjustRightInd/>
        <w:snapToGrid w:val="0"/>
        <w:spacing w:before="180" w:after="180" w:line="240" w:lineRule="auto"/>
        <w:textAlignment w:val="auto"/>
        <w:rPr>
          <w:rFonts w:hint="default" w:ascii="Consolas" w:hAnsi="Consolas" w:eastAsia="宋体" w:cs="Consolas"/>
          <w:color w:val="auto"/>
        </w:rPr>
      </w:pPr>
      <w:r>
        <w:rPr>
          <w:rFonts w:hint="default" w:ascii="Consolas" w:hAnsi="Consolas" w:eastAsia="宋体" w:cs="Consolas"/>
          <w:color w:val="auto"/>
        </w:rPr>
        <w:t>5.1 时间口径</w:t>
      </w:r>
    </w:p>
    <w:p w14:paraId="18C5E045">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平台区分事件发生时间、设备上传时间、接入时间和数据处理时间。高频大气电场数据以设备上传时间作为主时间口径，用于月分区、窗口查询和数据连续性评估；雷击类数据以雷击发生时间作为空间统计的时间过滤口径；原始报文保留接入时间和来源位点，用于接入链路追溯。</w:t>
      </w:r>
    </w:p>
    <w:p w14:paraId="0A39AE0C">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性能测试造数时已保证大气电场设备上传时间非空且连续，能够支撑按时间窗口进行过程曲线分析。生产环境中如设备上传频率、采样间隔或补传策略发生变化，应重新评估容量和查询窗口数据量。</w:t>
      </w:r>
    </w:p>
    <w:p w14:paraId="1559A718">
      <w:pPr>
        <w:pStyle w:val="4"/>
        <w:keepNext/>
        <w:keepLines/>
        <w:pageBreakBefore w:val="0"/>
        <w:widowControl/>
        <w:kinsoku/>
        <w:wordWrap/>
        <w:overflowPunct/>
        <w:topLinePunct w:val="0"/>
        <w:autoSpaceDE/>
        <w:autoSpaceDN/>
        <w:bidi w:val="0"/>
        <w:adjustRightInd/>
        <w:snapToGrid w:val="0"/>
        <w:spacing w:before="180" w:after="180" w:line="240" w:lineRule="auto"/>
        <w:textAlignment w:val="auto"/>
        <w:rPr>
          <w:rFonts w:hint="default" w:ascii="Consolas" w:hAnsi="Consolas" w:eastAsia="宋体" w:cs="Consolas"/>
          <w:color w:val="auto"/>
        </w:rPr>
      </w:pPr>
      <w:r>
        <w:rPr>
          <w:rFonts w:hint="default" w:ascii="Consolas" w:hAnsi="Consolas" w:eastAsia="宋体" w:cs="Consolas"/>
          <w:color w:val="auto"/>
        </w:rPr>
        <w:t>5.2 空间口径</w:t>
      </w:r>
    </w:p>
    <w:p w14:paraId="45A7F66B">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雷击大网、小网及雷击业务事件统一生成空间点对象，入库时由经纬度生成空间字段。50km 范围查询统一基于雷击业务事件空间点与矿区调度室坐标进行距离计算，保证不同查询场景使用同一空间统计口径。</w:t>
      </w:r>
    </w:p>
    <w:p w14:paraId="2FB42574">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雷暴过程不维护动态中心点，避免过程中心点口径随算法变化影响统计结果。当前模型以矿区调度室坐标作为固定空间参考点，适合</w:t>
      </w:r>
      <w:r>
        <w:rPr>
          <w:rFonts w:hint="default" w:ascii="Consolas" w:hAnsi="Consolas" w:cs="Consolas"/>
          <w:color w:val="auto"/>
          <w:lang w:val="en-US" w:eastAsia="zh-CN"/>
        </w:rPr>
        <w:t>系统</w:t>
      </w:r>
      <w:r>
        <w:rPr>
          <w:rFonts w:hint="default" w:ascii="Consolas" w:hAnsi="Consolas" w:eastAsia="宋体" w:cs="Consolas"/>
          <w:color w:val="auto"/>
        </w:rPr>
        <w:t>开展矿区周边雷击数量、来源类型和雷击类型分布统计。</w:t>
      </w:r>
    </w:p>
    <w:p w14:paraId="7DE9FC26">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分区、索引与空间字段设计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515"/>
        <w:gridCol w:w="3855"/>
      </w:tblGrid>
      <w:tr w14:paraId="0FF27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BEBEBE" w:themeFill="background1" w:themeFillShade="BF"/>
            <w:vAlign w:val="center"/>
          </w:tcPr>
          <w:p w14:paraId="78E43BE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对象类型</w:t>
            </w:r>
          </w:p>
        </w:tc>
        <w:tc>
          <w:tcPr>
            <w:tcW w:w="3515" w:type="dxa"/>
            <w:shd w:val="clear" w:color="auto" w:fill="BEBEBE" w:themeFill="background1" w:themeFillShade="BF"/>
            <w:vAlign w:val="center"/>
          </w:tcPr>
          <w:p w14:paraId="0FF88B4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设计策略</w:t>
            </w:r>
          </w:p>
        </w:tc>
        <w:tc>
          <w:tcPr>
            <w:tcW w:w="3855" w:type="dxa"/>
            <w:shd w:val="clear" w:color="auto" w:fill="BEBEBE" w:themeFill="background1" w:themeFillShade="BF"/>
            <w:vAlign w:val="center"/>
          </w:tcPr>
          <w:p w14:paraId="6B249D8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压测体现</w:t>
            </w:r>
          </w:p>
        </w:tc>
      </w:tr>
      <w:tr w14:paraId="26055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0F384C">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高频大气电场数据</w:t>
            </w:r>
          </w:p>
        </w:tc>
        <w:tc>
          <w:tcPr>
            <w:tcW w:w="3515" w:type="dxa"/>
            <w:vAlign w:val="center"/>
          </w:tcPr>
          <w:p w14:paraId="1D79A77B">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标准层和业务事件层按设备上传时间进行月分区，并建立设备与时间组合索引。</w:t>
            </w:r>
          </w:p>
        </w:tc>
        <w:tc>
          <w:tcPr>
            <w:tcW w:w="3855" w:type="dxa"/>
            <w:vAlign w:val="center"/>
          </w:tcPr>
          <w:p w14:paraId="0E4CEE7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分页查询和过程窗口曲线查询可限制在目标时间范围内，S4 阶段未出现因全表扫描导致的系统性退化。</w:t>
            </w:r>
          </w:p>
        </w:tc>
      </w:tr>
      <w:tr w14:paraId="681A6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AB418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雷击业务事件</w:t>
            </w:r>
          </w:p>
        </w:tc>
        <w:tc>
          <w:tcPr>
            <w:tcW w:w="3515" w:type="dxa"/>
            <w:vAlign w:val="center"/>
          </w:tcPr>
          <w:p w14:paraId="3669DCDF">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统一保留雷击空间点，并结合发生时间和空间索引支撑范围查询。</w:t>
            </w:r>
          </w:p>
        </w:tc>
        <w:tc>
          <w:tcPr>
            <w:tcW w:w="3855" w:type="dxa"/>
            <w:vAlign w:val="center"/>
          </w:tcPr>
          <w:p w14:paraId="34C7736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50km 雷击数量、来源类型分布和雷击类型分布查询均可命中空间或时间过滤路径，S4 阶段响应满足目标阈值。</w:t>
            </w:r>
          </w:p>
        </w:tc>
      </w:tr>
      <w:tr w14:paraId="7F4CF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E7E7B6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原始报文</w:t>
            </w:r>
          </w:p>
        </w:tc>
        <w:tc>
          <w:tcPr>
            <w:tcW w:w="3515" w:type="dxa"/>
            <w:vAlign w:val="center"/>
          </w:tcPr>
          <w:p w14:paraId="79EE080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保留来源主题、分区和位点去重能力，支持接入幂等和问题追溯。</w:t>
            </w:r>
          </w:p>
        </w:tc>
        <w:tc>
          <w:tcPr>
            <w:tcW w:w="3855" w:type="dxa"/>
            <w:vAlign w:val="center"/>
          </w:tcPr>
          <w:p w14:paraId="67FF0697">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造数校验中重复组为 0，满足原始报文唯一去重要求。</w:t>
            </w:r>
          </w:p>
        </w:tc>
      </w:tr>
      <w:tr w14:paraId="4017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jc w:val="center"/>
        </w:trPr>
        <w:tc>
          <w:tcPr>
            <w:tcW w:w="1701" w:type="dxa"/>
            <w:vAlign w:val="center"/>
          </w:tcPr>
          <w:p w14:paraId="65A9DEE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雷暴过程及闭环表</w:t>
            </w:r>
          </w:p>
        </w:tc>
        <w:tc>
          <w:tcPr>
            <w:tcW w:w="3515" w:type="dxa"/>
            <w:vAlign w:val="center"/>
          </w:tcPr>
          <w:p w14:paraId="35D02E3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以矿区和过程时间窗口组织过程数据，关联预警、通知、巡检和处置记录。</w:t>
            </w:r>
          </w:p>
        </w:tc>
        <w:tc>
          <w:tcPr>
            <w:tcW w:w="3855" w:type="dxa"/>
            <w:vAlign w:val="center"/>
          </w:tcPr>
          <w:p w14:paraId="7DA9409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过程窗口可支撑曲线查询和过程闭环校验，未发现关系链路缺失。</w:t>
            </w:r>
          </w:p>
        </w:tc>
      </w:tr>
      <w:tr w14:paraId="3D199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DA11DC8">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低频设备数据</w:t>
            </w:r>
          </w:p>
        </w:tc>
        <w:tc>
          <w:tcPr>
            <w:tcW w:w="3515" w:type="dxa"/>
            <w:vAlign w:val="center"/>
          </w:tcPr>
          <w:p w14:paraId="4A7D212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按设备类型进入标准层和业务层，数据规模由设备数量和上传频率决定。</w:t>
            </w:r>
          </w:p>
        </w:tc>
        <w:tc>
          <w:tcPr>
            <w:tcW w:w="3855" w:type="dxa"/>
            <w:vAlign w:val="center"/>
          </w:tcPr>
          <w:p w14:paraId="48A085A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当前测试按方案频率估算，生产环境设备频率变化会带来容量偏差风险。</w:t>
            </w:r>
          </w:p>
        </w:tc>
      </w:tr>
    </w:tbl>
    <w:p w14:paraId="2559DDD6">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指标口径说明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3685"/>
        <w:gridCol w:w="3572"/>
      </w:tblGrid>
      <w:tr w14:paraId="30F15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BEBEBE" w:themeFill="background1" w:themeFillShade="BF"/>
            <w:vAlign w:val="center"/>
          </w:tcPr>
          <w:p w14:paraId="18FEF0AE">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指标/场景</w:t>
            </w:r>
          </w:p>
        </w:tc>
        <w:tc>
          <w:tcPr>
            <w:tcW w:w="3685" w:type="dxa"/>
            <w:shd w:val="clear" w:color="auto" w:fill="BEBEBE" w:themeFill="background1" w:themeFillShade="BF"/>
            <w:vAlign w:val="center"/>
          </w:tcPr>
          <w:p w14:paraId="031B0ED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统计口径</w:t>
            </w:r>
          </w:p>
        </w:tc>
        <w:tc>
          <w:tcPr>
            <w:tcW w:w="3572" w:type="dxa"/>
            <w:shd w:val="clear" w:color="auto" w:fill="BEBEBE" w:themeFill="background1" w:themeFillShade="BF"/>
            <w:vAlign w:val="center"/>
          </w:tcPr>
          <w:p w14:paraId="28C5B8E4">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说明</w:t>
            </w:r>
          </w:p>
        </w:tc>
      </w:tr>
      <w:tr w14:paraId="248EF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3B9FF7BA">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接入成功率</w:t>
            </w:r>
          </w:p>
        </w:tc>
        <w:tc>
          <w:tcPr>
            <w:tcW w:w="3685" w:type="dxa"/>
            <w:vAlign w:val="center"/>
          </w:tcPr>
          <w:p w14:paraId="201B724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成功入库或成功处理数量 / 接入总数量</w:t>
            </w:r>
          </w:p>
        </w:tc>
        <w:tc>
          <w:tcPr>
            <w:tcW w:w="3572" w:type="dxa"/>
            <w:vAlign w:val="center"/>
          </w:tcPr>
          <w:p w14:paraId="289116B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用于评估数据接入链路稳定性。</w:t>
            </w:r>
          </w:p>
        </w:tc>
      </w:tr>
      <w:tr w14:paraId="27095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08A71C2D">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大气电场分页查询</w:t>
            </w:r>
          </w:p>
        </w:tc>
        <w:tc>
          <w:tcPr>
            <w:tcW w:w="3685" w:type="dxa"/>
            <w:vAlign w:val="center"/>
          </w:tcPr>
          <w:p w14:paraId="7EB9B1DD">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按设备和时间范围过滤，按上传时间倒序分页返回</w:t>
            </w:r>
          </w:p>
        </w:tc>
        <w:tc>
          <w:tcPr>
            <w:tcW w:w="3572" w:type="dxa"/>
            <w:vAlign w:val="center"/>
          </w:tcPr>
          <w:p w14:paraId="345B6CB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每次返回固定页大小，主要验证分区和设备时间索引。</w:t>
            </w:r>
          </w:p>
        </w:tc>
      </w:tr>
      <w:tr w14:paraId="4A55C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A65814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雷暴过程窗口曲线</w:t>
            </w:r>
          </w:p>
        </w:tc>
        <w:tc>
          <w:tcPr>
            <w:tcW w:w="3685" w:type="dxa"/>
            <w:vAlign w:val="center"/>
          </w:tcPr>
          <w:p w14:paraId="6ACB2CB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按选定雷暴过程的数据窗口查询多台设备曲线数据</w:t>
            </w:r>
          </w:p>
        </w:tc>
        <w:tc>
          <w:tcPr>
            <w:tcW w:w="3572" w:type="dxa"/>
            <w:vAlign w:val="center"/>
          </w:tcPr>
          <w:p w14:paraId="18EB36F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属于大结果集查询，端到端耗时会受到执行环境和客户端接收能力影响。</w:t>
            </w:r>
          </w:p>
        </w:tc>
      </w:tr>
      <w:tr w14:paraId="59D6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8769115">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50km 雷击数量</w:t>
            </w:r>
          </w:p>
        </w:tc>
        <w:tc>
          <w:tcPr>
            <w:tcW w:w="3685" w:type="dxa"/>
            <w:vAlign w:val="center"/>
          </w:tcPr>
          <w:p w14:paraId="2B9AD414">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按雷暴过程时间窗口和调度室 50km 范围统计雷击业务事件数量</w:t>
            </w:r>
          </w:p>
        </w:tc>
        <w:tc>
          <w:tcPr>
            <w:tcW w:w="3572" w:type="dxa"/>
            <w:vAlign w:val="center"/>
          </w:tcPr>
          <w:p w14:paraId="2B9071FF">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统一使用雷击业务事件空间点和矿区调度室坐标。</w:t>
            </w:r>
          </w:p>
        </w:tc>
      </w:tr>
      <w:tr w14:paraId="5D0F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791546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来源类型分布</w:t>
            </w:r>
          </w:p>
        </w:tc>
        <w:tc>
          <w:tcPr>
            <w:tcW w:w="3685" w:type="dxa"/>
            <w:vAlign w:val="center"/>
          </w:tcPr>
          <w:p w14:paraId="057FD00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在同一时间和空间范围内按来源类型分组统计</w:t>
            </w:r>
          </w:p>
        </w:tc>
        <w:tc>
          <w:tcPr>
            <w:tcW w:w="3572" w:type="dxa"/>
            <w:vAlign w:val="center"/>
          </w:tcPr>
          <w:p w14:paraId="0E9FA23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用于分析雷击数据来源构成。</w:t>
            </w:r>
          </w:p>
        </w:tc>
      </w:tr>
      <w:tr w14:paraId="5DEE6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A79E88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雷击类型分布</w:t>
            </w:r>
          </w:p>
        </w:tc>
        <w:tc>
          <w:tcPr>
            <w:tcW w:w="3685" w:type="dxa"/>
            <w:vAlign w:val="center"/>
          </w:tcPr>
          <w:p w14:paraId="58CD1E3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在同一时间和空间范围内按雷击类型分组统计</w:t>
            </w:r>
          </w:p>
        </w:tc>
        <w:tc>
          <w:tcPr>
            <w:tcW w:w="3572" w:type="dxa"/>
            <w:vAlign w:val="center"/>
          </w:tcPr>
          <w:p w14:paraId="732F8E5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用于分析雷击类型构成。</w:t>
            </w:r>
          </w:p>
        </w:tc>
      </w:tr>
      <w:tr w14:paraId="00513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6B815C2F">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原始报文去重</w:t>
            </w:r>
          </w:p>
        </w:tc>
        <w:tc>
          <w:tcPr>
            <w:tcW w:w="3685" w:type="dxa"/>
            <w:vAlign w:val="center"/>
          </w:tcPr>
          <w:p w14:paraId="6DB79747">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 topic、partition、offset 判断唯一性</w:t>
            </w:r>
          </w:p>
        </w:tc>
        <w:tc>
          <w:tcPr>
            <w:tcW w:w="3572" w:type="dxa"/>
            <w:vAlign w:val="center"/>
          </w:tcPr>
          <w:p w14:paraId="0025C095">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用于避免同一 Kafka 位点重复入库。</w:t>
            </w:r>
          </w:p>
        </w:tc>
      </w:tr>
      <w:tr w14:paraId="124A9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4D67119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数据质量校验</w:t>
            </w:r>
          </w:p>
        </w:tc>
        <w:tc>
          <w:tcPr>
            <w:tcW w:w="3685" w:type="dxa"/>
            <w:vAlign w:val="center"/>
          </w:tcPr>
          <w:p w14:paraId="1452ED4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时间非空、经纬度合法、空间字段完整、标准与业务关系完整</w:t>
            </w:r>
          </w:p>
        </w:tc>
        <w:tc>
          <w:tcPr>
            <w:tcW w:w="3572" w:type="dxa"/>
            <w:vAlign w:val="center"/>
          </w:tcPr>
          <w:p w14:paraId="3516620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用于保证查询和统计结果可信。</w:t>
            </w:r>
          </w:p>
        </w:tc>
      </w:tr>
    </w:tbl>
    <w:p w14:paraId="433C1A83">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数据规模与容量假设</w:t>
      </w:r>
    </w:p>
    <w:p w14:paraId="6C54DA56">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本阶段容量评估基于测试方案中的 S0-S4 数据档位进行，覆盖从建模验证规模到推荐存量规模。S4 阶段总体数据规模约 1.17 亿条，其中大气电场标准数据、大气电场业务事件和原始报文为主要数据量来源。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701"/>
        <w:gridCol w:w="1928"/>
        <w:gridCol w:w="4195"/>
      </w:tblGrid>
      <w:tr w14:paraId="14497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247" w:type="dxa"/>
            <w:shd w:val="clear" w:color="auto" w:fill="BEBEBE" w:themeFill="background1" w:themeFillShade="BF"/>
            <w:vAlign w:val="center"/>
          </w:tcPr>
          <w:p w14:paraId="7F5611D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阶段</w:t>
            </w:r>
          </w:p>
        </w:tc>
        <w:tc>
          <w:tcPr>
            <w:tcW w:w="1701" w:type="dxa"/>
            <w:shd w:val="clear" w:color="auto" w:fill="BEBEBE" w:themeFill="background1" w:themeFillShade="BF"/>
            <w:vAlign w:val="center"/>
          </w:tcPr>
          <w:p w14:paraId="1D2B2A4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定位</w:t>
            </w:r>
          </w:p>
        </w:tc>
        <w:tc>
          <w:tcPr>
            <w:tcW w:w="1928" w:type="dxa"/>
            <w:shd w:val="clear" w:color="auto" w:fill="BEBEBE" w:themeFill="background1" w:themeFillShade="BF"/>
            <w:vAlign w:val="center"/>
          </w:tcPr>
          <w:p w14:paraId="5F0455B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总体数据规模</w:t>
            </w:r>
          </w:p>
        </w:tc>
        <w:tc>
          <w:tcPr>
            <w:tcW w:w="4195" w:type="dxa"/>
            <w:shd w:val="clear" w:color="auto" w:fill="BEBEBE" w:themeFill="background1" w:themeFillShade="BF"/>
            <w:vAlign w:val="center"/>
          </w:tcPr>
          <w:p w14:paraId="0D4F85EA">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说明</w:t>
            </w:r>
          </w:p>
        </w:tc>
      </w:tr>
      <w:tr w14:paraId="02614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0C8E8AF">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S0</w:t>
            </w:r>
          </w:p>
        </w:tc>
        <w:tc>
          <w:tcPr>
            <w:tcW w:w="1701" w:type="dxa"/>
            <w:vAlign w:val="center"/>
          </w:tcPr>
          <w:p w14:paraId="47C86791">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建模验证</w:t>
            </w:r>
          </w:p>
        </w:tc>
        <w:tc>
          <w:tcPr>
            <w:tcW w:w="1928" w:type="dxa"/>
            <w:vAlign w:val="center"/>
          </w:tcPr>
          <w:p w14:paraId="5134292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3.8 万条</w:t>
            </w:r>
          </w:p>
        </w:tc>
        <w:tc>
          <w:tcPr>
            <w:tcW w:w="4195" w:type="dxa"/>
            <w:vAlign w:val="center"/>
          </w:tcPr>
          <w:p w14:paraId="2EC45C3A">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验证表结构、关系链路和基础查询可用性。</w:t>
            </w:r>
          </w:p>
        </w:tc>
      </w:tr>
      <w:tr w14:paraId="738AA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16788D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S1</w:t>
            </w:r>
          </w:p>
        </w:tc>
        <w:tc>
          <w:tcPr>
            <w:tcW w:w="1701" w:type="dxa"/>
            <w:vAlign w:val="center"/>
          </w:tcPr>
          <w:p w14:paraId="402E78D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基线档</w:t>
            </w:r>
          </w:p>
        </w:tc>
        <w:tc>
          <w:tcPr>
            <w:tcW w:w="1928" w:type="dxa"/>
            <w:vAlign w:val="center"/>
          </w:tcPr>
          <w:p w14:paraId="5488BD05">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601.9 万条</w:t>
            </w:r>
          </w:p>
        </w:tc>
        <w:tc>
          <w:tcPr>
            <w:tcW w:w="4195" w:type="dxa"/>
            <w:vAlign w:val="center"/>
          </w:tcPr>
          <w:p w14:paraId="25210EE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验证百万级核心大表下的基础性能。</w:t>
            </w:r>
          </w:p>
        </w:tc>
      </w:tr>
      <w:tr w14:paraId="20ECB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6A5B804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S2</w:t>
            </w:r>
          </w:p>
        </w:tc>
        <w:tc>
          <w:tcPr>
            <w:tcW w:w="1701" w:type="dxa"/>
            <w:vAlign w:val="center"/>
          </w:tcPr>
          <w:p w14:paraId="2F761C2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增长档</w:t>
            </w:r>
          </w:p>
        </w:tc>
        <w:tc>
          <w:tcPr>
            <w:tcW w:w="1928" w:type="dxa"/>
            <w:vAlign w:val="center"/>
          </w:tcPr>
          <w:p w14:paraId="6F300653">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2707 万条</w:t>
            </w:r>
          </w:p>
        </w:tc>
        <w:tc>
          <w:tcPr>
            <w:tcW w:w="4195" w:type="dxa"/>
            <w:vAlign w:val="center"/>
          </w:tcPr>
          <w:p w14:paraId="294249E8">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验证千万级增长后的查询稳定性。</w:t>
            </w:r>
          </w:p>
        </w:tc>
      </w:tr>
      <w:tr w14:paraId="1F62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53E67E1B">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S3</w:t>
            </w:r>
          </w:p>
        </w:tc>
        <w:tc>
          <w:tcPr>
            <w:tcW w:w="1701" w:type="dxa"/>
            <w:vAlign w:val="center"/>
          </w:tcPr>
          <w:p w14:paraId="2EF0FD6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压力档</w:t>
            </w:r>
          </w:p>
        </w:tc>
        <w:tc>
          <w:tcPr>
            <w:tcW w:w="1928" w:type="dxa"/>
            <w:vAlign w:val="center"/>
          </w:tcPr>
          <w:p w14:paraId="4BDC91C9">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5117 万条</w:t>
            </w:r>
          </w:p>
        </w:tc>
        <w:tc>
          <w:tcPr>
            <w:tcW w:w="4195" w:type="dxa"/>
            <w:vAlign w:val="center"/>
          </w:tcPr>
          <w:p w14:paraId="6557DC60">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验证更高数据规模下的索引和空间查询能力。</w:t>
            </w:r>
          </w:p>
        </w:tc>
      </w:tr>
      <w:tr w14:paraId="678C3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7" w:type="dxa"/>
            <w:vAlign w:val="center"/>
          </w:tcPr>
          <w:p w14:paraId="4FDE3D0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S4</w:t>
            </w:r>
          </w:p>
        </w:tc>
        <w:tc>
          <w:tcPr>
            <w:tcW w:w="1701" w:type="dxa"/>
            <w:vAlign w:val="center"/>
          </w:tcPr>
          <w:p w14:paraId="6A73296C">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推荐存量档</w:t>
            </w:r>
          </w:p>
        </w:tc>
        <w:tc>
          <w:tcPr>
            <w:tcW w:w="1928" w:type="dxa"/>
            <w:vAlign w:val="center"/>
          </w:tcPr>
          <w:p w14:paraId="2CB2B854">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约 1.17 亿条</w:t>
            </w:r>
          </w:p>
        </w:tc>
        <w:tc>
          <w:tcPr>
            <w:tcW w:w="4195" w:type="dxa"/>
            <w:vAlign w:val="center"/>
          </w:tcPr>
          <w:p w14:paraId="6552F9F0">
            <w:pPr>
              <w:keepNext w:val="0"/>
              <w:keepLines w:val="0"/>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验证推荐存量规模下的核心场景响应能力。</w:t>
            </w:r>
          </w:p>
        </w:tc>
      </w:tr>
    </w:tbl>
    <w:p w14:paraId="04A8242A">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低频设备数据规模基于当前设备类型、设备数量和预估上传频率评估。生产环境中如果设备数量增加、上传频率提高或采集策略调整，实际数据规模可能与本次测试档位存在偏差，需要重新进行容量测算和关键查询复测。</w:t>
      </w:r>
    </w:p>
    <w:p w14:paraId="7BBC498A">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性能验证结果对模型设计的支撑</w:t>
      </w:r>
    </w:p>
    <w:p w14:paraId="0A9A9B20">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本次性能测试基于单机 PostgreSQL + PostGIS 环境开展，测试目标是</w:t>
      </w:r>
      <w:r>
        <w:rPr>
          <w:rFonts w:hint="default" w:ascii="Consolas" w:hAnsi="Consolas" w:cs="Consolas"/>
          <w:color w:val="auto"/>
          <w:lang w:val="en-US" w:eastAsia="zh-CN"/>
        </w:rPr>
        <w:t>验证当前系统</w:t>
      </w:r>
      <w:r>
        <w:rPr>
          <w:rFonts w:hint="default" w:ascii="Consolas" w:hAnsi="Consolas" w:eastAsia="宋体" w:cs="Consolas"/>
          <w:color w:val="auto"/>
        </w:rPr>
        <w:t>数据库模型、分区索引和空间字段设计是否能够支撑核心业务场景。测试工具包括自定义数据生产程序、SQL 压测程序、Prometheus、node_exporter 和 Grafana。</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493"/>
        <w:gridCol w:w="3877"/>
      </w:tblGrid>
      <w:tr w14:paraId="61769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BEBEBE" w:themeFill="background1" w:themeFillShade="BF"/>
            <w:vAlign w:val="center"/>
          </w:tcPr>
          <w:p w14:paraId="605649F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验证项</w:t>
            </w:r>
          </w:p>
        </w:tc>
        <w:tc>
          <w:tcPr>
            <w:tcW w:w="3493" w:type="dxa"/>
            <w:shd w:val="clear" w:color="auto" w:fill="BEBEBE" w:themeFill="background1" w:themeFillShade="BF"/>
            <w:vAlign w:val="center"/>
          </w:tcPr>
          <w:p w14:paraId="36BB27D3">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代表结果</w:t>
            </w:r>
          </w:p>
        </w:tc>
        <w:tc>
          <w:tcPr>
            <w:tcW w:w="3877" w:type="dxa"/>
            <w:shd w:val="clear" w:color="auto" w:fill="BEBEBE" w:themeFill="background1" w:themeFillShade="BF"/>
            <w:vAlign w:val="center"/>
          </w:tcPr>
          <w:p w14:paraId="2049957A">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color w:val="auto"/>
                <w:sz w:val="21"/>
                <w:szCs w:val="21"/>
              </w:rPr>
              <w:t>设计判断</w:t>
            </w:r>
          </w:p>
        </w:tc>
      </w:tr>
      <w:tr w14:paraId="3C46C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7D1B44B">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写入类场景</w:t>
            </w:r>
          </w:p>
        </w:tc>
        <w:tc>
          <w:tcPr>
            <w:tcW w:w="3493" w:type="dxa"/>
            <w:vAlign w:val="center"/>
          </w:tcPr>
          <w:p w14:paraId="59B5707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S0-S4 阶段持续写入类场景均满足目标阈值。</w:t>
            </w:r>
          </w:p>
        </w:tc>
        <w:tc>
          <w:tcPr>
            <w:tcW w:w="3877" w:type="dxa"/>
            <w:vAlign w:val="center"/>
          </w:tcPr>
          <w:p w14:paraId="515AA13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标准层、原始报文和雷击业务事件写入路径可支撑当前阶段测试规模。</w:t>
            </w:r>
          </w:p>
        </w:tc>
      </w:tr>
      <w:tr w14:paraId="0B006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17C950B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w:t>
            </w:r>
          </w:p>
        </w:tc>
        <w:tc>
          <w:tcPr>
            <w:tcW w:w="3493" w:type="dxa"/>
            <w:vAlign w:val="center"/>
          </w:tcPr>
          <w:p w14:paraId="316A57C0">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分页查询在大数据量下仍可保持稳定响应。</w:t>
            </w:r>
          </w:p>
        </w:tc>
        <w:tc>
          <w:tcPr>
            <w:tcW w:w="3877" w:type="dxa"/>
            <w:vAlign w:val="center"/>
          </w:tcPr>
          <w:p w14:paraId="3509A21D">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按时间分区和设备时间索引设计有效。</w:t>
            </w:r>
          </w:p>
        </w:tc>
      </w:tr>
      <w:tr w14:paraId="78852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CB0A654">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b w:val="0"/>
                <w:color w:val="auto"/>
                <w:sz w:val="21"/>
                <w:szCs w:val="21"/>
              </w:rPr>
            </w:pPr>
            <w:r>
              <w:rPr>
                <w:rFonts w:hint="default" w:ascii="Consolas" w:hAnsi="Consolas" w:eastAsia="宋体" w:cs="Consolas"/>
                <w:b w:val="0"/>
                <w:color w:val="auto"/>
                <w:sz w:val="21"/>
                <w:szCs w:val="21"/>
              </w:rPr>
              <w:t>过程窗口曲线查询</w:t>
            </w:r>
          </w:p>
        </w:tc>
        <w:tc>
          <w:tcPr>
            <w:tcW w:w="3493" w:type="dxa"/>
            <w:vAlign w:val="center"/>
          </w:tcPr>
          <w:p w14:paraId="47411C9B">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b w:val="0"/>
                <w:color w:val="auto"/>
                <w:sz w:val="21"/>
                <w:szCs w:val="21"/>
              </w:rPr>
            </w:pPr>
            <w:r>
              <w:rPr>
                <w:rFonts w:hint="default" w:ascii="Consolas" w:hAnsi="Consolas" w:eastAsia="宋体" w:cs="Consolas"/>
                <w:b w:val="0"/>
                <w:color w:val="auto"/>
                <w:sz w:val="21"/>
                <w:szCs w:val="21"/>
              </w:rPr>
              <w:t>S4 阶段 50 并发 × 500 次测试</w:t>
            </w:r>
            <w:bookmarkStart w:id="0" w:name="_GoBack"/>
            <w:bookmarkEnd w:id="0"/>
            <w:r>
              <w:rPr>
                <w:rFonts w:hint="default" w:ascii="Consolas" w:hAnsi="Consolas" w:eastAsia="宋体" w:cs="Consolas"/>
                <w:b w:val="0"/>
                <w:color w:val="auto"/>
                <w:sz w:val="21"/>
                <w:szCs w:val="21"/>
              </w:rPr>
              <w:t>中，P95=1041.1ms，P99=1368.7ms。</w:t>
            </w:r>
          </w:p>
        </w:tc>
        <w:tc>
          <w:tcPr>
            <w:tcW w:w="3877" w:type="dxa"/>
            <w:vAlign w:val="center"/>
          </w:tcPr>
          <w:p w14:paraId="3CF533FE">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大结果集曲线查询在 S4 压测条件下 满足目标阈值（P95≤1500ms）；不同压测执行环境可能影响结果稳定性。</w:t>
            </w:r>
          </w:p>
        </w:tc>
      </w:tr>
      <w:tr w14:paraId="0EC47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EEE73D2">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50km 雷击统计</w:t>
            </w:r>
          </w:p>
        </w:tc>
        <w:tc>
          <w:tcPr>
            <w:tcW w:w="3493" w:type="dxa"/>
            <w:vAlign w:val="center"/>
          </w:tcPr>
          <w:p w14:paraId="47904EE3">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S4 阶段雷击数量、来源分布和类型分布查询均满足目标阈值。</w:t>
            </w:r>
          </w:p>
        </w:tc>
        <w:tc>
          <w:tcPr>
            <w:tcW w:w="3877" w:type="dxa"/>
            <w:vAlign w:val="center"/>
          </w:tcPr>
          <w:p w14:paraId="14A76E65">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统一空间字段和调度室坐标口径能够支撑当前范围统计场景。</w:t>
            </w:r>
          </w:p>
        </w:tc>
      </w:tr>
      <w:tr w14:paraId="7CB74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F673CA9">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索引与分区利用</w:t>
            </w:r>
          </w:p>
        </w:tc>
        <w:tc>
          <w:tcPr>
            <w:tcW w:w="3493" w:type="dxa"/>
            <w:vAlign w:val="center"/>
          </w:tcPr>
          <w:p w14:paraId="5E76D946">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查询场景可命中目标时间分区、设备时间索引或空间索引。</w:t>
            </w:r>
          </w:p>
        </w:tc>
        <w:tc>
          <w:tcPr>
            <w:tcW w:w="3877" w:type="dxa"/>
            <w:vAlign w:val="center"/>
          </w:tcPr>
          <w:p w14:paraId="5C632C31">
            <w:pPr>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sz w:val="21"/>
                <w:szCs w:val="21"/>
              </w:rPr>
            </w:pPr>
            <w:r>
              <w:rPr>
                <w:rFonts w:hint="default" w:ascii="Consolas" w:hAnsi="Consolas" w:eastAsia="宋体" w:cs="Consolas"/>
                <w:b w:val="0"/>
                <w:color w:val="auto"/>
                <w:sz w:val="21"/>
                <w:szCs w:val="21"/>
              </w:rPr>
              <w:t>当前分区、索引和空间字段设计总体合理。</w:t>
            </w:r>
          </w:p>
        </w:tc>
      </w:tr>
    </w:tbl>
    <w:p w14:paraId="7AD18CF5">
      <w:pPr>
        <w:pStyle w:val="3"/>
        <w:keepNext/>
        <w:keepLines/>
        <w:pageBreakBefore w:val="0"/>
        <w:widowControl/>
        <w:numPr>
          <w:ilvl w:val="0"/>
          <w:numId w:val="7"/>
        </w:numPr>
        <w:kinsoku/>
        <w:wordWrap/>
        <w:overflowPunct/>
        <w:topLinePunct w:val="0"/>
        <w:autoSpaceDE/>
        <w:autoSpaceDN/>
        <w:bidi w:val="0"/>
        <w:adjustRightInd/>
        <w:snapToGrid w:val="0"/>
        <w:spacing w:before="240" w:after="240" w:line="240" w:lineRule="auto"/>
        <w:textAlignment w:val="auto"/>
        <w:rPr>
          <w:rFonts w:hint="default" w:ascii="Consolas" w:hAnsi="Consolas" w:eastAsia="宋体" w:cs="Consolas"/>
          <w:color w:val="auto"/>
        </w:rPr>
      </w:pPr>
      <w:r>
        <w:rPr>
          <w:rFonts w:hint="default" w:ascii="Consolas" w:hAnsi="Consolas" w:eastAsia="宋体" w:cs="Consolas"/>
          <w:color w:val="auto"/>
        </w:rPr>
        <w:t>风险与约束</w:t>
      </w:r>
    </w:p>
    <w:p w14:paraId="40DC8284">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本次结论基于 14 核 CPU、32GB 内存、1TB 硬盘的单机测试环境，反映当前硬件条件下的模型合理性和性能摸底结果，不代表正式生产环境性能上限。</w:t>
      </w:r>
    </w:p>
    <w:p w14:paraId="026A1AF9">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大气电场属于高频数据，实际数据量高度依赖设备数量、上传频率和补传策略，生产部署前需结合真实设备清单重新评估。</w:t>
      </w:r>
    </w:p>
    <w:p w14:paraId="265BA89A">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PERF-05 属于大结果集曲线查询，单次返回数据量受查询窗口、并发参数和 API 返回策略影响；正式业务建议支持降采样、分段加载或按时间粒度聚合。</w:t>
      </w:r>
    </w:p>
    <w:p w14:paraId="308007BE">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随着矿区数量、雷击数据规模或统计半径增加，需持续复核空间索引效果和统计查询执行计划。</w:t>
      </w:r>
    </w:p>
    <w:p w14:paraId="1A098BBF">
      <w:pPr>
        <w:pStyle w:val="16"/>
        <w:keepNext w:val="0"/>
        <w:keepLines w:val="0"/>
        <w:pageBreakBefore w:val="0"/>
        <w:widowControl/>
        <w:numPr>
          <w:ilvl w:val="0"/>
          <w:numId w:val="9"/>
        </w:numPr>
        <w:kinsoku/>
        <w:wordWrap/>
        <w:overflowPunct/>
        <w:topLinePunct w:val="0"/>
        <w:autoSpaceDE/>
        <w:autoSpaceDN/>
        <w:bidi w:val="0"/>
        <w:adjustRightInd/>
        <w:snapToGrid w:val="0"/>
        <w:spacing w:after="0" w:line="360" w:lineRule="auto"/>
        <w:ind w:left="0" w:leftChars="0" w:firstLine="0" w:firstLineChars="0"/>
        <w:textAlignment w:val="auto"/>
        <w:rPr>
          <w:rFonts w:hint="default" w:ascii="Consolas" w:hAnsi="Consolas" w:eastAsia="宋体" w:cs="Consolas"/>
          <w:color w:val="auto"/>
        </w:rPr>
      </w:pPr>
      <w:r>
        <w:rPr>
          <w:rFonts w:hint="default" w:ascii="Consolas" w:hAnsi="Consolas" w:eastAsia="宋体" w:cs="Consolas"/>
          <w:color w:val="auto"/>
        </w:rPr>
        <w:t>长期运行后需建立分区创建、历史分区归档、索引维护、统计信息更新和异常报文清理机制。</w:t>
      </w:r>
    </w:p>
    <w:p w14:paraId="268691DF">
      <w:pPr>
        <w:pStyle w:val="3"/>
        <w:keepNext/>
        <w:keepLines/>
        <w:pageBreakBefore w:val="0"/>
        <w:widowControl/>
        <w:numPr>
          <w:ilvl w:val="0"/>
          <w:numId w:val="7"/>
        </w:numPr>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rPr>
      </w:pPr>
      <w:r>
        <w:rPr>
          <w:rFonts w:hint="default" w:ascii="Consolas" w:hAnsi="Consolas" w:eastAsia="宋体" w:cs="Consolas"/>
          <w:color w:val="auto"/>
        </w:rPr>
        <w:t>评审结论</w:t>
      </w:r>
    </w:p>
    <w:p w14:paraId="043F237B">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综合模型设计和 S0-S4 阶段性能验证结果，当前雷电监测平台数据模型能够支撑</w:t>
      </w:r>
      <w:r>
        <w:rPr>
          <w:rFonts w:hint="eastAsia" w:ascii="Consolas" w:hAnsi="Consolas" w:cs="Consolas"/>
          <w:color w:val="auto"/>
          <w:lang w:val="en-US" w:eastAsia="zh-CN"/>
        </w:rPr>
        <w:t>系统</w:t>
      </w:r>
      <w:r>
        <w:rPr>
          <w:rFonts w:hint="default" w:ascii="Consolas" w:hAnsi="Consolas" w:eastAsia="宋体" w:cs="Consolas"/>
          <w:color w:val="auto"/>
        </w:rPr>
        <w:t>数据接入、标准化存储、雷暴过程分析、空间范围统计、预警联动和业务查询需求。</w:t>
      </w:r>
    </w:p>
    <w:p w14:paraId="2174B739">
      <w:pPr>
        <w:keepNext w:val="0"/>
        <w:keepLines w:val="0"/>
        <w:pageBreakBefore w:val="0"/>
        <w:widowControl/>
        <w:kinsoku/>
        <w:wordWrap/>
        <w:overflowPunct/>
        <w:topLinePunct w:val="0"/>
        <w:autoSpaceDE/>
        <w:autoSpaceDN/>
        <w:bidi w:val="0"/>
        <w:adjustRightInd/>
        <w:snapToGrid w:val="0"/>
        <w:spacing w:after="0" w:line="360" w:lineRule="auto"/>
        <w:ind w:firstLine="420" w:firstLineChars="200"/>
        <w:textAlignment w:val="auto"/>
        <w:rPr>
          <w:rFonts w:hint="default" w:ascii="Consolas" w:hAnsi="Consolas" w:eastAsia="宋体" w:cs="Consolas"/>
          <w:color w:val="auto"/>
        </w:rPr>
      </w:pPr>
      <w:r>
        <w:rPr>
          <w:rFonts w:hint="default" w:ascii="Consolas" w:hAnsi="Consolas" w:eastAsia="宋体" w:cs="Consolas"/>
          <w:color w:val="auto"/>
        </w:rPr>
        <w:t>时间分区、设备时间索引、雷击空间字段、50km 统计口径和原始报文去重设计总体合理；在推荐存量规模约 1.17 亿条数据下，核心数据库查询未出现因模型设计导致的系统性性能瓶颈。该模型可作为后续开发、联调和扩展建设的数据库模型基础。</w:t>
      </w:r>
    </w:p>
    <w:p w14:paraId="5856254C">
      <w:pPr>
        <w:pStyle w:val="3"/>
        <w:pageBreakBefore w:val="0"/>
        <w:widowControl/>
        <w:kinsoku/>
        <w:wordWrap/>
        <w:overflowPunct/>
        <w:topLinePunct w:val="0"/>
        <w:autoSpaceDE/>
        <w:autoSpaceDN/>
        <w:bidi w:val="0"/>
        <w:adjustRightInd/>
        <w:snapToGrid w:val="0"/>
        <w:spacing w:before="120" w:after="120" w:line="240" w:lineRule="auto"/>
        <w:textAlignment w:val="auto"/>
        <w:rPr>
          <w:rFonts w:hint="default" w:ascii="Consolas" w:hAnsi="Consolas" w:eastAsia="宋体" w:cs="Consolas"/>
          <w:color w:val="auto"/>
        </w:rPr>
      </w:pPr>
      <w:r>
        <w:rPr>
          <w:rFonts w:hint="default" w:ascii="Consolas" w:hAnsi="Consolas" w:eastAsia="宋体" w:cs="Consolas"/>
          <w:color w:val="auto"/>
        </w:rPr>
        <w:t>附录 A：交付与维护建议</w:t>
      </w:r>
    </w:p>
    <w:p w14:paraId="021EE7FF">
      <w:pPr>
        <w:pStyle w:val="16"/>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420" w:leftChars="0" w:hanging="420" w:firstLineChars="0"/>
        <w:textAlignment w:val="auto"/>
        <w:rPr>
          <w:rFonts w:hint="default" w:ascii="Consolas" w:hAnsi="Consolas" w:eastAsia="宋体" w:cs="Consolas"/>
          <w:color w:val="auto"/>
        </w:rPr>
      </w:pPr>
      <w:r>
        <w:rPr>
          <w:rFonts w:hint="default" w:ascii="Consolas" w:hAnsi="Consolas" w:eastAsia="宋体" w:cs="Consolas"/>
          <w:color w:val="auto"/>
        </w:rPr>
        <w:t>性能复测时应优先保证压测端与数据库之间执行环境稳定，特别是大结果集查询场景。</w:t>
      </w:r>
    </w:p>
    <w:p w14:paraId="69CCD8B0">
      <w:pPr>
        <w:pStyle w:val="16"/>
        <w:keepNext w:val="0"/>
        <w:keepLines w:val="0"/>
        <w:pageBreakBefore w:val="0"/>
        <w:widowControl/>
        <w:numPr>
          <w:ilvl w:val="0"/>
          <w:numId w:val="10"/>
        </w:numPr>
        <w:kinsoku/>
        <w:wordWrap/>
        <w:overflowPunct/>
        <w:topLinePunct w:val="0"/>
        <w:autoSpaceDE/>
        <w:autoSpaceDN/>
        <w:bidi w:val="0"/>
        <w:adjustRightInd/>
        <w:snapToGrid w:val="0"/>
        <w:spacing w:after="0" w:line="360" w:lineRule="auto"/>
        <w:ind w:left="420" w:leftChars="0" w:hanging="420" w:firstLineChars="0"/>
        <w:textAlignment w:val="auto"/>
        <w:rPr>
          <w:rFonts w:hint="default" w:ascii="Consolas" w:hAnsi="Consolas" w:eastAsia="宋体" w:cs="Consolas"/>
          <w:color w:val="auto"/>
        </w:rPr>
      </w:pPr>
      <w:r>
        <w:rPr>
          <w:rFonts w:hint="default" w:ascii="Consolas" w:hAnsi="Consolas" w:eastAsia="宋体" w:cs="Consolas"/>
          <w:color w:val="auto"/>
        </w:rPr>
        <w:t>生产部署前建议基于真实设备数量、上传频率和保留周期重新进行容量估算。</w:t>
      </w:r>
    </w:p>
    <w:sectPr>
      <w:pgSz w:w="12240" w:h="15840"/>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C5F4A2"/>
    <w:multiLevelType w:val="singleLevel"/>
    <w:tmpl w:val="81C5F4A2"/>
    <w:lvl w:ilvl="0" w:tentative="0">
      <w:start w:val="1"/>
      <w:numFmt w:val="bullet"/>
      <w:lvlText w:val=""/>
      <w:lvlJc w:val="left"/>
      <w:pPr>
        <w:ind w:left="420" w:hanging="420"/>
      </w:pPr>
      <w:rPr>
        <w:rFonts w:hint="default" w:ascii="Wingdings" w:hAnsi="Wingdings"/>
      </w:rPr>
    </w:lvl>
  </w:abstractNum>
  <w:abstractNum w:abstractNumId="1">
    <w:nsid w:val="F6D324C1"/>
    <w:multiLevelType w:val="singleLevel"/>
    <w:tmpl w:val="F6D324C1"/>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1C26F947"/>
    <w:multiLevelType w:val="singleLevel"/>
    <w:tmpl w:val="1C26F947"/>
    <w:lvl w:ilvl="0" w:tentative="0">
      <w:start w:val="1"/>
      <w:numFmt w:val="decimal"/>
      <w:lvlText w:val="%1)"/>
      <w:lvlJc w:val="left"/>
      <w:pPr>
        <w:ind w:left="425" w:hanging="425"/>
      </w:pPr>
      <w:rPr>
        <w:rFonts w:hint="default"/>
      </w:rPr>
    </w:lvl>
  </w:abstractNum>
  <w:abstractNum w:abstractNumId="9">
    <w:nsid w:val="6B3C3BE0"/>
    <w:multiLevelType w:val="singleLevel"/>
    <w:tmpl w:val="6B3C3BE0"/>
    <w:lvl w:ilvl="0" w:tentative="0">
      <w:start w:val="1"/>
      <w:numFmt w:val="decimal"/>
      <w:lvlText w:val="%1)"/>
      <w:lvlJc w:val="left"/>
      <w:pPr>
        <w:ind w:left="425" w:hanging="425"/>
      </w:pPr>
      <w:rPr>
        <w:rFonts w:hint="default"/>
      </w:rPr>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1"/>
  </w:num>
  <w:num w:numId="8">
    <w:abstractNumId w:val="9"/>
  </w:num>
  <w:num w:numId="9">
    <w:abstractNumId w:val="8"/>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37981"/>
    <w:rsid w:val="00AA1D8D"/>
    <w:rsid w:val="00B47730"/>
    <w:rsid w:val="00CB0664"/>
    <w:rsid w:val="00FC693F"/>
    <w:rsid w:val="064055CE"/>
    <w:rsid w:val="07A73C1C"/>
    <w:rsid w:val="09B55290"/>
    <w:rsid w:val="0A611896"/>
    <w:rsid w:val="0ADC375E"/>
    <w:rsid w:val="11386E78"/>
    <w:rsid w:val="116616FE"/>
    <w:rsid w:val="12FB6C31"/>
    <w:rsid w:val="145B2071"/>
    <w:rsid w:val="17124B68"/>
    <w:rsid w:val="192D0F3C"/>
    <w:rsid w:val="1E541A70"/>
    <w:rsid w:val="1F542105"/>
    <w:rsid w:val="222D671F"/>
    <w:rsid w:val="23EC0C7E"/>
    <w:rsid w:val="2B471FB3"/>
    <w:rsid w:val="2CA12446"/>
    <w:rsid w:val="309410C2"/>
    <w:rsid w:val="30C43E10"/>
    <w:rsid w:val="342B7074"/>
    <w:rsid w:val="34EC597A"/>
    <w:rsid w:val="36F210B1"/>
    <w:rsid w:val="37034BCF"/>
    <w:rsid w:val="38895CD0"/>
    <w:rsid w:val="38DA69D3"/>
    <w:rsid w:val="3C0C3393"/>
    <w:rsid w:val="3CCB035F"/>
    <w:rsid w:val="3DC34C62"/>
    <w:rsid w:val="3E8527A2"/>
    <w:rsid w:val="3EAE40E4"/>
    <w:rsid w:val="3FF83425"/>
    <w:rsid w:val="41A01FE6"/>
    <w:rsid w:val="42D462B4"/>
    <w:rsid w:val="4388269E"/>
    <w:rsid w:val="444220B7"/>
    <w:rsid w:val="44834CF6"/>
    <w:rsid w:val="46081DC4"/>
    <w:rsid w:val="46F337F6"/>
    <w:rsid w:val="4A5D250E"/>
    <w:rsid w:val="4B3969F9"/>
    <w:rsid w:val="4D950505"/>
    <w:rsid w:val="503512D2"/>
    <w:rsid w:val="521B4A42"/>
    <w:rsid w:val="52E84768"/>
    <w:rsid w:val="52F11223"/>
    <w:rsid w:val="554F4585"/>
    <w:rsid w:val="558A3BC1"/>
    <w:rsid w:val="568C3F8D"/>
    <w:rsid w:val="575304D2"/>
    <w:rsid w:val="58BF0A29"/>
    <w:rsid w:val="594D5D0E"/>
    <w:rsid w:val="5E045D4D"/>
    <w:rsid w:val="5EA24952"/>
    <w:rsid w:val="5EF06C4F"/>
    <w:rsid w:val="63436BE9"/>
    <w:rsid w:val="63A01501"/>
    <w:rsid w:val="64511F6B"/>
    <w:rsid w:val="64CE4172"/>
    <w:rsid w:val="65A11F4C"/>
    <w:rsid w:val="692F6BCC"/>
    <w:rsid w:val="6A516D7C"/>
    <w:rsid w:val="6BFB1336"/>
    <w:rsid w:val="6DF62C90"/>
    <w:rsid w:val="7278765C"/>
    <w:rsid w:val="749F4A62"/>
    <w:rsid w:val="75394C61"/>
    <w:rsid w:val="7A6D4269"/>
    <w:rsid w:val="7AFF37D8"/>
    <w:rsid w:val="7E1431CA"/>
    <w:rsid w:val="7F18088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11</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61021</cp:lastModifiedBy>
  <dcterms:modified xsi:type="dcterms:W3CDTF">2026-06-16T02:10:42Z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69400E6119CF4D5783E1D0883AF719D0_12</vt:lpwstr>
  </property>
</Properties>
</file>