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sz w:val="48"/>
        </w:rPr>
        <w:t>Test Program</w:t>
      </w:r>
    </w:p>
    <w:p>
      <w:pPr>
        <w:spacing w:before="240"/>
        <w:jc w:val="center"/>
      </w:pPr>
      <w:r>
        <w:rPr>
          <w:color w:val="444444"/>
          <w:sz w:val="32"/>
        </w:rPr>
        <w:t>Acquisition Strategy</w:t>
      </w:r>
    </w:p>
    <w:p>
      <w:pPr>
        <w:spacing w:before="160"/>
        <w:jc w:val="center"/>
      </w:pPr>
      <w:r>
        <w:rPr>
          <w:sz w:val="22"/>
        </w:rPr>
        <w:t>February 27, 2026</w:t>
      </w:r>
    </w:p>
    <w:p>
      <w:r>
        <w:br w:type="page"/>
      </w:r>
    </w:p>
    <w:p>
      <w:pPr>
        <w:pStyle w:val="Heading1"/>
        <w:spacing w:before="0" w:after="160"/>
      </w:pPr>
      <w:r>
        <w:t>1. Executive Summary</w:t>
      </w:r>
    </w:p>
    <w:p>
      <w:r>
        <w:t>This Acquisition Strategy documents the Government's approach to acquiring the Test Program program in accordance with a Modular Open Systems Approach (MOSA) as required by 10 U.S.C. § 4401. This strategy outlines program objectives, modular contracting approach, data rights posture, standards and architectures, industry engagement activities, and risk mitigation through modularity.</w:t>
      </w:r>
    </w:p>
    <w:p>
      <w:pPr>
        <w:pStyle w:val="ListBullet"/>
      </w:pPr>
      <w:r>
        <w:t>Program: Test Program</w:t>
      </w:r>
    </w:p>
    <w:p>
      <w:pPr>
        <w:pStyle w:val="ListBullet"/>
      </w:pPr>
      <w:r>
        <w:t>Estimated development cost: $15,000,000</w:t>
      </w:r>
    </w:p>
    <w:p>
      <w:pPr>
        <w:pStyle w:val="ListBullet"/>
      </w:pPr>
      <w:r>
        <w:t>Estimated production unit cost: $450,000</w:t>
      </w:r>
    </w:p>
    <w:p>
      <w:pPr>
        <w:pStyle w:val="ListBullet"/>
      </w:pPr>
      <w:r>
        <w:t>Mission-critical system</w:t>
      </w:r>
    </w:p>
    <w:p>
      <w:pPr>
        <w:pStyle w:val="ListBullet"/>
      </w:pPr>
      <w:r>
        <w:t>Safety-critical system</w:t>
      </w:r>
    </w:p>
    <w:p>
      <w:pPr>
        <w:pStyle w:val="ListBullet"/>
      </w:pPr>
      <w:r>
        <w:t>Attritable system (low-cost, expendable)</w:t>
      </w:r>
    </w:p>
    <w:p>
      <w:pPr>
        <w:pStyle w:val="ListBullet"/>
      </w:pPr>
      <w:r>
        <w:t>Long sustainment tail anticipated</w:t>
      </w:r>
    </w:p>
    <w:p>
      <w:pPr>
        <w:pStyle w:val="ListBullet"/>
      </w:pPr>
      <w:r>
        <w:t>Software constitutes a major portion of the system</w:t>
      </w:r>
    </w:p>
    <w:p>
      <w:r>
        <w:br w:type="page"/>
      </w:r>
    </w:p>
    <w:p>
      <w:pPr>
        <w:pStyle w:val="Heading1"/>
        <w:spacing w:before="0" w:after="160"/>
      </w:pPr>
      <w:r>
        <w:t>2. Program Overview</w:t>
      </w:r>
    </w:p>
    <w:p>
      <w:r>
        <w:t>This is a Class 1 UAS modernization effort.</w:t>
      </w:r>
    </w:p>
    <w:p>
      <w:pPr>
        <w:pStyle w:val="Heading2"/>
        <w:spacing w:before="240" w:after="120"/>
      </w:pPr>
      <w:r>
        <w:t>2.1 Similar Previous Programs</w:t>
      </w:r>
    </w:p>
    <w:p>
      <w:r>
        <w:t>i dunno</w:t>
      </w:r>
    </w:p>
    <w:p>
      <w:r>
        <w:br w:type="page"/>
      </w:r>
    </w:p>
    <w:p>
      <w:pPr>
        <w:pStyle w:val="Heading1"/>
        <w:spacing w:before="0" w:after="160"/>
      </w:pPr>
      <w:r>
        <w:t>3. Constraints</w:t>
      </w:r>
    </w:p>
    <w:p>
      <w:pPr>
        <w:pStyle w:val="Heading2"/>
        <w:spacing w:before="240" w:after="120"/>
      </w:pPr>
      <w:r>
        <w:t>3.1 Technical Constraints</w:t>
      </w:r>
    </w:p>
    <w:p>
      <w:pPr>
        <w:pStyle w:val="ListBullet"/>
      </w:pPr>
      <w:r>
        <w:t>many risks</w:t>
      </w:r>
    </w:p>
    <w:p>
      <w:pPr>
        <w:pStyle w:val="Heading2"/>
        <w:spacing w:before="240" w:after="120"/>
      </w:pPr>
      <w:r>
        <w:t>3.2 Cost &amp; Schedule Constraints</w:t>
      </w:r>
    </w:p>
    <w:p>
      <w:pPr>
        <w:pStyle w:val="ListBullet"/>
      </w:pPr>
      <w:r>
        <w:t>Development cost estimate: $15,000,000</w:t>
      </w:r>
    </w:p>
    <w:p>
      <w:pPr>
        <w:pStyle w:val="ListBullet"/>
      </w:pPr>
      <w:r>
        <w:t>Production unit cost estimate: $450,000</w:t>
      </w:r>
    </w:p>
    <w:p>
      <w:pPr>
        <w:pStyle w:val="Heading2"/>
        <w:spacing w:before="240" w:after="120"/>
      </w:pPr>
      <w:r>
        <w:t>3.3 Reference Documents</w:t>
      </w:r>
    </w:p>
    <w:p>
      <w:r>
        <w:t>The following reference documents have been uploaded to support this acquisition:</w:t>
      </w:r>
    </w:p>
    <w:p>
      <w:pPr>
        <w:pStyle w:val="ListBullet"/>
      </w:pPr>
      <w:r>
        <w:t>constraints.txt</w:t>
      </w:r>
    </w:p>
    <w:p>
      <w:pPr>
        <w:pStyle w:val="ListBullet"/>
      </w:pPr>
      <w:r>
        <w:t>description.txt</w:t>
      </w:r>
    </w:p>
    <w:p>
      <w:r>
        <w:br w:type="page"/>
      </w:r>
    </w:p>
    <w:p>
      <w:pPr>
        <w:pStyle w:val="Heading1"/>
        <w:spacing w:before="0" w:after="160"/>
      </w:pPr>
      <w:r>
        <w:t>4. Modular Contracting Strategy</w:t>
      </w:r>
    </w:p>
    <w:p>
      <w:r>
        <w:t>The program will employ a modular contracting strategy consistent with MOSA principles. Each module will be competed independently where market conditions allow, using open interface standards to preserve the Government's ability to re-compete, upgrade, and sustain components across the program lifecycle.</w:t>
      </w:r>
    </w:p>
    <w:p>
      <w:pPr>
        <w:pStyle w:val="Heading2"/>
        <w:spacing w:before="240" w:after="120"/>
      </w:pPr>
      <w:r>
        <w:t>4.1 Module Competition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D9E1F2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2016"/>
            <w:shd w:val="clear" w:color="auto" w:fill="D9E1F2"/>
          </w:tcPr>
          <w:p>
            <w:r/>
            <w:r>
              <w:rPr>
                <w:b/>
                <w:sz w:val="20"/>
              </w:rPr>
              <w:t>Competition Strategy</w:t>
            </w:r>
          </w:p>
        </w:tc>
        <w:tc>
          <w:tcPr>
            <w:tcW w:type="dxa" w:w="2304"/>
            <w:shd w:val="clear" w:color="auto" w:fill="D9E1F2"/>
          </w:tcPr>
          <w:p>
            <w:r/>
            <w:r>
              <w:rPr>
                <w:b/>
                <w:sz w:val="20"/>
              </w:rPr>
              <w:t>Functional Boundary</w:t>
            </w:r>
          </w:p>
        </w:tc>
        <w:tc>
          <w:tcPr>
            <w:tcW w:type="dxa" w:w="2304"/>
            <w:shd w:val="clear" w:color="auto" w:fill="D9E1F2"/>
          </w:tcPr>
          <w:p>
            <w:r/>
            <w:r>
              <w:rPr>
                <w:b/>
                <w:sz w:val="20"/>
              </w:rPr>
              <w:t>Key Interfaces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its functional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Competitive – MOSA Compliant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Identified for: This is a Class 1 UAS modernization effort.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Not provided</w:t>
            </w:r>
          </w:p>
        </w:tc>
      </w:tr>
    </w:tbl>
    <w:p>
      <w:pPr>
        <w:pStyle w:val="Heading2"/>
        <w:spacing w:before="240" w:after="120"/>
      </w:pPr>
      <w:r>
        <w:t>4.2 MOSA Contracting Scenarios</w:t>
      </w:r>
    </w:p>
    <w:p>
      <w:pPr>
        <w:pStyle w:val="ListBullet"/>
      </w:pPr>
      <w:r>
        <w:t>they just do idk</w:t>
      </w:r>
    </w:p>
    <w:p>
      <w:r>
        <w:br w:type="page"/>
      </w:r>
    </w:p>
    <w:p>
      <w:pPr>
        <w:pStyle w:val="Heading1"/>
        <w:spacing w:before="0" w:after="160"/>
      </w:pPr>
      <w:r>
        <w:t>5. Data Rights / Technical Data Strategy</w:t>
      </w:r>
    </w:p>
    <w:p>
      <w:r>
        <w:t>The Government will acquire sufficient technical data rights to enable competition, independent support, and future modernization. The following posture governs data rights across all contract actions under this program:</w:t>
      </w:r>
    </w:p>
    <w:p>
      <w:pPr>
        <w:pStyle w:val="ListBullet"/>
      </w:pPr>
      <w:r>
        <w:rPr>
          <w:b/>
        </w:rPr>
        <w:t xml:space="preserve">Interface Control Documents (ICDs): </w:t>
      </w:r>
      <w:r>
        <w:t>Government will obtain unlimited rights to all ICDs to preserve competitive re-sourcing of modules.</w:t>
      </w:r>
    </w:p>
    <w:p>
      <w:pPr>
        <w:pStyle w:val="ListBullet"/>
      </w:pPr>
      <w:r>
        <w:rPr>
          <w:b/>
        </w:rPr>
        <w:t xml:space="preserve">Design Data: </w:t>
      </w:r>
      <w:r>
        <w:t>Government will negotiate for at minimum Government Purpose Rights (GPR) on all major design artifacts; unlimited rights will be sought for software developed exclusively with Government funding.</w:t>
      </w:r>
    </w:p>
    <w:p>
      <w:pPr>
        <w:pStyle w:val="ListBullet"/>
      </w:pPr>
      <w:r>
        <w:rPr>
          <w:b/>
        </w:rPr>
        <w:t xml:space="preserve">Firmware &amp; Embedded Software: </w:t>
      </w:r>
      <w:r>
        <w:t>Rights will be negotiated to allow the Government to modify and redistribute firmware for sustainment and security patching.</w:t>
      </w:r>
    </w:p>
    <w:p>
      <w:pPr>
        <w:pStyle w:val="ListBullet"/>
      </w:pPr>
      <w:r>
        <w:rPr>
          <w:b/>
        </w:rPr>
        <w:t xml:space="preserve">Licensing Posture: </w:t>
      </w:r>
      <w:r>
        <w:t>Preference for royalty-free, perpetual licenses on all deliverable technical data. Proprietary licenses will be documented and approved by the Program Manager.</w:t>
      </w:r>
    </w:p>
    <w:p>
      <w:pPr>
        <w:pStyle w:val="ListBullet"/>
      </w:pPr>
      <w:r>
        <w:rPr>
          <w:b/>
        </w:rPr>
        <w:t xml:space="preserve">Standards &amp; Specifications: </w:t>
      </w:r>
      <w:r>
        <w:t>All applicable open standards incorporated by reference will be identified in the contract, with Government retention of copies.</w:t>
      </w:r>
    </w:p>
    <w:p/>
    <w:p>
      <w:r>
        <w:t>Known ICDs and interface standards by module:</w:t>
      </w:r>
    </w:p>
    <w:p>
      <w:r>
        <w:t>face</w:t>
      </w:r>
    </w:p>
    <w:p>
      <w:r>
        <w:br w:type="page"/>
      </w:r>
    </w:p>
    <w:p>
      <w:pPr>
        <w:pStyle w:val="Heading1"/>
        <w:spacing w:before="0" w:after="160"/>
      </w:pPr>
      <w:r>
        <w:t>6. Standards &amp; Architectures</w:t>
      </w:r>
    </w:p>
    <w:p>
      <w:r>
        <w:t>The following standards and reference architectures have been identified for this program. Contractors shall demonstrate compliance with applicable standards at each design review.</w:t>
      </w:r>
    </w:p>
    <w:p>
      <w:pPr>
        <w:pStyle w:val="Heading2"/>
        <w:spacing w:before="240" w:after="120"/>
      </w:pPr>
      <w:r>
        <w:t>6.1 Software Standards &amp; Architectures</w:t>
      </w:r>
    </w:p>
    <w:p>
      <w:r>
        <w:t>iec</w:t>
      </w:r>
    </w:p>
    <w:p>
      <w:pPr>
        <w:pStyle w:val="Heading2"/>
        <w:spacing w:before="240" w:after="120"/>
      </w:pPr>
      <w:r>
        <w:t>6.2 Module-Level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5760"/>
            <w:shd w:val="clear" w:color="auto" w:fill="D9E1F2"/>
          </w:tcPr>
          <w:p>
            <w:r/>
            <w:r>
              <w:rPr>
                <w:b/>
                <w:sz w:val="20"/>
              </w:rPr>
              <w:t>Applicable Standards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its functional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iec</w:t>
            </w:r>
          </w:p>
        </w:tc>
      </w:tr>
    </w:tbl>
    <w:p>
      <w:pPr>
        <w:pStyle w:val="Heading2"/>
        <w:spacing w:before="240" w:after="120"/>
      </w:pPr>
      <w:r>
        <w:t>6.3 MOSA Repository Search</w:t>
      </w:r>
    </w:p>
    <w:p>
      <w:r>
        <w:t>A search of the MOSA repository has been completed for this program. Results will be incorporated into the standards selection process.</w:t>
      </w:r>
    </w:p>
    <w:p>
      <w:r>
        <w:br w:type="page"/>
      </w:r>
    </w:p>
    <w:p>
      <w:pPr>
        <w:pStyle w:val="Heading1"/>
        <w:spacing w:before="0" w:after="160"/>
      </w:pPr>
      <w:r>
        <w:t>7. Industry Engagement Plan</w:t>
      </w:r>
    </w:p>
    <w:p>
      <w:r>
        <w:t>The program office will engage with industry early and often to inform the acquisition strategy, validate technical assumptions, and promote competition. The following activities are planned:</w:t>
      </w:r>
    </w:p>
    <w:p>
      <w:pPr>
        <w:pStyle w:val="ListBullet"/>
      </w:pPr>
      <w:r>
        <w:rPr>
          <w:b/>
        </w:rPr>
        <w:t xml:space="preserve">Request for Information (RFI): </w:t>
      </w:r>
      <w:r>
        <w:t>Issue an RFI to solicit industry capability statements, proposed architectures, and open standards recommendations prior to Draft RFP release.</w:t>
      </w:r>
    </w:p>
    <w:p>
      <w:pPr>
        <w:pStyle w:val="ListBullet"/>
      </w:pPr>
      <w:r>
        <w:rPr>
          <w:b/>
        </w:rPr>
        <w:t xml:space="preserve">Industry Day: </w:t>
      </w:r>
      <w:r>
        <w:t>Host an Industry Day to present program objectives, MOSA requirements, and modular decomposition concepts; solicit vendor feedback on proposed interfaces.</w:t>
      </w:r>
    </w:p>
    <w:p>
      <w:pPr>
        <w:pStyle w:val="ListBullet"/>
      </w:pPr>
      <w:r>
        <w:rPr>
          <w:b/>
        </w:rPr>
        <w:t xml:space="preserve">One-on-One Sessions: </w:t>
      </w:r>
      <w:r>
        <w:t>Conduct voluntary one-on-one sessions with interested vendors to discuss proprietary capabilities without disclosure to competitors.</w:t>
      </w:r>
    </w:p>
    <w:p>
      <w:pPr>
        <w:pStyle w:val="ListBullet"/>
      </w:pPr>
      <w:r>
        <w:rPr>
          <w:b/>
        </w:rPr>
        <w:t xml:space="preserve">Draft RFP Review: </w:t>
      </w:r>
      <w:r>
        <w:t>Release Draft RFP for public comment with a minimum 30-day review period; publish responses to industry questions.</w:t>
      </w:r>
    </w:p>
    <w:p>
      <w:pPr>
        <w:pStyle w:val="ListBullet"/>
      </w:pPr>
      <w:r>
        <w:rPr>
          <w:b/>
        </w:rPr>
        <w:t xml:space="preserve">Pre-Solicitation Conference: </w:t>
      </w:r>
      <w:r>
        <w:t>Hold a pre-solicitation conference to clarify requirements and answer questions from prospective offerors.</w:t>
      </w:r>
    </w:p>
    <w:p>
      <w:r>
        <w:br w:type="page"/>
      </w:r>
    </w:p>
    <w:p>
      <w:pPr>
        <w:pStyle w:val="Heading1"/>
        <w:spacing w:before="0" w:after="160"/>
      </w:pPr>
      <w:r>
        <w:t>8. Risk Register</w:t>
      </w:r>
    </w:p>
    <w:p>
      <w:r>
        <w:t>The following risks have been identified for this program. Modular architecture and MOSA principles serve as primary mitigation strategies across multiple risk areas.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D9E1F2"/>
          </w:tcPr>
          <w:p>
            <w:r/>
            <w:r>
              <w:rPr>
                <w:b/>
                <w:sz w:val="20"/>
              </w:rPr>
              <w:t>Risk Area</w:t>
            </w:r>
          </w:p>
        </w:tc>
        <w:tc>
          <w:tcPr>
            <w:tcW w:type="dxa" w:w="2448"/>
            <w:shd w:val="clear" w:color="auto" w:fill="D9E1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  <w:shd w:val="clear" w:color="auto" w:fill="D9E1F2"/>
          </w:tcPr>
          <w:p>
            <w:r/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1008"/>
            <w:shd w:val="clear" w:color="auto" w:fill="D9E1F2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2448"/>
            <w:shd w:val="clear" w:color="auto" w:fill="D9E1F2"/>
          </w:tcPr>
          <w:p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Vendor Lock-in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Single-source dependencies on proprietary interfaces limiting re-competition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Enforce open standards; acquire ICDs; modular boundaries in contract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Technology Obsolescence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Rapid COTS obsolescence requiring costly mid-cycle replacements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COTS insertion planning; modular design enables component swap without system redesign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Integration Complexity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Increased integration risk from multiple competing vendors across modules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Rigorous ICD management; system integrator role; integration testing milestones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Schedule Risk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Delays in one module cascading to system-level schedule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Independent module schedules; parallel development; well-defined acceptance criteria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Obsolescence: its functional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its functional identified as an obsolescence risk area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Modular replacement path; COTS insertion plan; technology refresh in LCMP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Program Tech Risk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many risks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Modular architecture limits blast radius; MOSA enables competitive re-sourcing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t>9. MOSA Implementation Plan</w:t>
      </w:r>
    </w:p>
    <w:p>
      <w:r>
        <w:t>This program will implement a Modular Open Systems Approach (MOSA) consistent with 10 U.S.C. § 4401 and DoD Directive 5000.01. The following criteria constitute the minimum MOSA requirements for this program:</w:t>
      </w:r>
    </w:p>
    <w:p>
      <w:pPr>
        <w:pStyle w:val="ListBullet"/>
      </w:pPr>
      <w:r>
        <w:rPr>
          <w:b/>
        </w:rPr>
        <w:t xml:space="preserve">Adoption of Open Standards: </w:t>
      </w:r>
      <w:r>
        <w:t>Design the system using open, consensus-based interface standards to prevent proprietary lock-in and enable competitive sourcing of components throughout the program lifecycle.</w:t>
      </w:r>
    </w:p>
    <w:p>
      <w:pPr>
        <w:pStyle w:val="ListBullet"/>
      </w:pPr>
      <w:r>
        <w:rPr>
          <w:b/>
        </w:rPr>
        <w:t xml:space="preserve">Competitive Upgrade Path: </w:t>
      </w:r>
      <w:r>
        <w:t>Architect the system so that individual modules or subsystems can be upgraded or replaced by competing suppliers, reducing total ownership cost and stimulating innovation.</w:t>
      </w:r>
    </w:p>
    <w:p>
      <w:pPr>
        <w:pStyle w:val="ListBullet"/>
      </w:pPr>
      <w:r>
        <w:rPr>
          <w:b/>
        </w:rPr>
        <w:t xml:space="preserve">Government Technical Data Rights: </w:t>
      </w:r>
      <w:r>
        <w:t>Acquire sufficient technical data rights — including interface control documents and design data — to allow the Government to re-compete, support, or modify components independently of the original developer.</w:t>
      </w:r>
    </w:p>
    <w:p>
      <w:pPr>
        <w:pStyle w:val="ListBullet"/>
      </w:pPr>
      <w:r>
        <w:rPr>
          <w:b/>
        </w:rPr>
        <w:t xml:space="preserve">Well-Defined Modular Boundaries: </w:t>
      </w:r>
      <w:r>
        <w:t>Implement clearly defined functional boundaries and standardized interfaces between modules so that changes to one module do not cascade to others, enabling incremental modernization.</w:t>
      </w:r>
    </w:p>
    <w:p>
      <w:pPr>
        <w:pStyle w:val="Heading2"/>
        <w:spacing w:before="240" w:after="120"/>
      </w:pPr>
      <w:r>
        <w:t>9.1 MOSA Verification</w:t>
      </w:r>
    </w:p>
    <w:p>
      <w:r>
        <w:t>MOSA compliance will be verified at each major program milestone (PDR, CDR, IOT&amp;E) through the following:</w:t>
      </w:r>
    </w:p>
    <w:p>
      <w:pPr>
        <w:pStyle w:val="ListBullet"/>
      </w:pPr>
      <w:r>
        <w:rPr>
          <w:b/>
        </w:rPr>
        <w:t xml:space="preserve">Interface Control Document (ICD) Review: </w:t>
      </w:r>
      <w:r>
        <w:t>All module interfaces shall be documented, Government-owned, and compliant with open standards.</w:t>
      </w:r>
    </w:p>
    <w:p>
      <w:pPr>
        <w:pStyle w:val="ListBullet"/>
      </w:pPr>
      <w:r>
        <w:rPr>
          <w:b/>
        </w:rPr>
        <w:t xml:space="preserve">Open Standards Compliance Matrix: </w:t>
      </w:r>
      <w:r>
        <w:t>Contractor shall maintain and deliver an updated compliance matrix at each design review.</w:t>
      </w:r>
    </w:p>
    <w:p>
      <w:pPr>
        <w:pStyle w:val="ListBullet"/>
      </w:pPr>
      <w:r>
        <w:rPr>
          <w:b/>
        </w:rPr>
        <w:t xml:space="preserve">Competitive Demonstration: </w:t>
      </w:r>
      <w:r>
        <w:t>By CDR, contractor shall demonstrate that at least one module can be replaced by an alternative vendor using only the published ICDs.</w:t>
      </w:r>
    </w:p>
    <w:p>
      <w:pPr>
        <w:pStyle w:val="ListBullet"/>
      </w:pPr>
      <w:r>
        <w:rPr>
          <w:b/>
        </w:rPr>
        <w:t xml:space="preserve">Technical Data Package (TDP) Delivery: </w:t>
      </w:r>
      <w:r>
        <w:t>Deliverable TDPs shall be reviewed for completeness and Government usability.</w:t>
      </w:r>
    </w:p>
    <w:p>
      <w:pPr>
        <w:pStyle w:val="Heading2"/>
        <w:spacing w:before="240" w:after="120"/>
      </w:pPr>
      <w:r>
        <w:t>9.2 Program-Specific MOSA Scenarios</w:t>
      </w:r>
    </w:p>
    <w:p>
      <w:pPr>
        <w:pStyle w:val="ListBullet"/>
      </w:pPr>
      <w:r>
        <w:t>they just do idk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8"/>
      </w:rPr>
      <w:t>Test Program</w:t>
    </w:r>
  </w:p>
  <w:p>
    <w:pPr>
      <w:jc w:val="center"/>
    </w:pP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